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737360" cy="459641"/>
            <wp:docPr id="1" name="Picture 1"/>
            <wp:cNvGraphicFramePr>
              <a:graphicFrameLocks noChangeAspect="1"/>
            </wp:cNvGraphicFramePr>
            <a:graphic>
              <a:graphicData uri="http://schemas.openxmlformats.org/drawingml/2006/picture">
                <pic:pic>
                  <pic:nvPicPr>
                    <pic:cNvPr id="0" name="mvf-logo.png"/>
                    <pic:cNvPicPr/>
                  </pic:nvPicPr>
                  <pic:blipFill>
                    <a:blip r:embed="rId9"/>
                    <a:stretch>
                      <a:fillRect/>
                    </a:stretch>
                  </pic:blipFill>
                  <pic:spPr>
                    <a:xfrm>
                      <a:off x="0" y="0"/>
                      <a:ext cx="1737360" cy="459641"/>
                    </a:xfrm>
                    <a:prstGeom prst="rect"/>
                  </pic:spPr>
                </pic:pic>
              </a:graphicData>
            </a:graphic>
          </wp:inline>
        </w:drawing>
      </w:r>
    </w:p>
    <w:p>
      <w:r>
        <w:rPr>
          <w:color w:val="0051A1"/>
          <w:sz w:val="19"/>
        </w:rPr>
        <w:t>Ein Service des Knowledge-Hubs von Monitor Versorgungsforschung. Täglich automatisiert KI-kuratiert aus PubMed und auf Deutsch übersetzt.</w:t>
      </w:r>
    </w:p>
    <w:p>
      <w:pPr>
        <w:pStyle w:val="Title"/>
      </w:pPr>
      <w:r>
        <w:t>Studienarchiv - Onkologie</w:t>
      </w:r>
    </w:p>
    <w:p>
      <w:r>
        <w:rPr>
          <w:i/>
          <w:color w:val="666666"/>
          <w:sz w:val="18"/>
        </w:rPr>
        <w:t>Stand: 25.10.2026  |  277 Studien  |  onkologie.m-vf.de</w:t>
      </w:r>
    </w:p>
    <w:p>
      <w:pPr>
        <w:pStyle w:val="Heading1"/>
      </w:pPr>
      <w:r>
        <w:t>Aufgenommen am 25.10.2026</w:t>
      </w:r>
    </w:p>
    <w:p>
      <w:pPr>
        <w:pStyle w:val="Heading2"/>
      </w:pPr>
      <w:r>
        <w:t>mKRAS-Impfstoff Camupepimut beim PDAC: DFS-Vorteil nur in Subgruppe, Biomarker vielversprechend</w:t>
      </w:r>
    </w:p>
    <w:p>
      <w:r>
        <w:rPr>
          <w:i/>
          <w:color w:val="666666"/>
          <w:sz w:val="18"/>
        </w:rPr>
        <w:t>George B et al.  ·  Nat Med  ·  23.10.2026  ·  PMID 42919966</w:t>
      </w:r>
    </w:p>
    <w:p>
      <w:r>
        <w:t>Phase-2-Randomisierungsstudie zum personalisierten mKRAS-spezifischen Impfstoff (ELI-002 7P/Camupepimut) bei Patienten mit KRAS-mutiertem PDAC (Stadium I–III) ohne Rezidiv innerhalb 6 Monaten nach Standardtherapie.</w:t>
      </w:r>
    </w:p>
    <w:p>
      <w:r>
        <w:rPr>
          <w:b/>
        </w:rPr>
        <w:t xml:space="preserve">Ergebnis: </w:t>
      </w:r>
      <w:r>
        <w:t>Primäres Ziel (DFS) nicht erreicht: medianes DFS 23,8 vs. 21,2 Monate (HR 0,85; p=0,53). Numerischer DFS-Vorteil 6-Monate 75,7 % vs. 61,7 % (HR 0,55; p=0,056). Post-hoc-Analyse: Camupepimut korrelierte mit verbessertem DFS (adjust. HR 0,47; p=0,0086). mKRAS-spezifische T-Zell-Response 98,9 %; Response &gt;9,17-fach über Baseline (82,2 %) mit verbessertem DFS (HR 0,22; p&lt;0,0001). Sicherheit vergleichbar zur Kontrolle.</w:t>
      </w:r>
    </w:p>
    <w:p>
      <w:r>
        <w:rPr>
          <w:b/>
          <w:sz w:val="19"/>
        </w:rPr>
        <w:t xml:space="preserve">Übertragbarkeit: </w:t>
      </w:r>
      <w:r>
        <w:rPr>
          <w:sz w:val="19"/>
        </w:rPr>
        <w:t>Multizentrische USA-Studie, aber Vakzin-Immunogenität-Befund übertragbar; KRAS-Mutationen global stratifizierbar; ermutigendes Signal für Phase-3-Validierung.</w:t>
      </w:r>
    </w:p>
    <w:p>
      <w:r>
        <w:rPr>
          <w:color w:val="5A7D3A"/>
          <w:sz w:val="18"/>
        </w:rPr>
        <w:t>https://pubmed.ncbi.nlm.nih.gov/42919966/</w:t>
      </w:r>
    </w:p>
    <w:p>
      <w:pPr>
        <w:pStyle w:val="Heading2"/>
      </w:pPr>
      <w:r>
        <w:t>Relatlimab + Nivolumab + Chemotherapie beim NSCLC: Subgruppen-Trend ohne Primärziel-Erfolg</w:t>
      </w:r>
    </w:p>
    <w:p>
      <w:r>
        <w:rPr>
          <w:i/>
          <w:color w:val="666666"/>
          <w:sz w:val="18"/>
        </w:rPr>
        <w:t>Girard N et al.  ·  Ann Oncol  ·  23.10.2026  ·  PMID 42918419</w:t>
      </w:r>
    </w:p>
    <w:p>
      <w:r>
        <w:t>Phase-II-Studie zur Kombination von Immune-Checkpoint-Inhibitoren (Nivolumab und Relatlimab) mit Chemotherapie versus Chemotherapie allein beim metastasierten oder rezidivierten NSCLC.</w:t>
      </w:r>
    </w:p>
    <w:p>
      <w:r>
        <w:rPr>
          <w:b/>
        </w:rPr>
        <w:t xml:space="preserve">Ergebnis: </w:t>
      </w:r>
      <w:r>
        <w:t>Primäres Ziel (Ansprechrate) nicht erreicht: 51,3 % vs. 45,0 % (p nicht signifikant). PFS-Hazard Ratio 0,89 (90%-CI 0,72–1,09). In der Subgruppe PD-L1 ≥1 % mit nichtsquamöser Histologie zeigten sich günstige Trends (ORR 58,0 % vs. 39,6 %; PFS HR 0,68; potenzieller OS-Vorteil HR 0,60). Sicherheitsprofil vertretbar.</w:t>
      </w:r>
    </w:p>
    <w:p>
      <w:r>
        <w:rPr>
          <w:b/>
          <w:sz w:val="19"/>
        </w:rPr>
        <w:t xml:space="preserve">Übertragbarkeit: </w:t>
      </w:r>
      <w:r>
        <w:rPr>
          <w:sz w:val="19"/>
        </w:rPr>
        <w:t>Multinationale Phase-II-Studie, europäische Sites inkludiert; Biomarker-Stratifizierung übertragbar auf deutsche Tumorkonferenzen.</w:t>
      </w:r>
    </w:p>
    <w:p>
      <w:r>
        <w:rPr>
          <w:color w:val="5A7D3A"/>
          <w:sz w:val="18"/>
        </w:rPr>
        <w:t>https://pubmed.ncbi.nlm.nih.gov/42918419/</w:t>
      </w:r>
    </w:p>
    <w:p>
      <w:pPr>
        <w:pStyle w:val="Heading2"/>
      </w:pPr>
      <w:r>
        <w:t>SBRT + Chemotherapie vs. Chemotherapie beim hochrisiko-PDAC: 20,2 % vs. 52,0 % lokale Rezidive</w:t>
      </w:r>
    </w:p>
    <w:p>
      <w:r>
        <w:rPr>
          <w:i/>
          <w:color w:val="666666"/>
          <w:sz w:val="18"/>
        </w:rPr>
        <w:t>Oar A et al.  ·  Lancet Oncol  ·  23.10.2026  ·  PMID 42914998</w:t>
      </w:r>
    </w:p>
    <w:p>
      <w:r>
        <w:t>Phase-2-Randomisierungs-Studie aus Australien/Neuseeland zur Zugabe von stereotaktischer Bestrahlung (40 Gy/5 Fraktionen) zu neoadjuvanter Chemotherapie beim lokalisierten PDAC mit Hochrisiko-Merkmalen.</w:t>
      </w:r>
    </w:p>
    <w:p>
      <w:r>
        <w:rPr>
          <w:b/>
        </w:rPr>
        <w:t xml:space="preserve">Ergebnis: </w:t>
      </w:r>
      <w:r>
        <w:t>12-Monats-Lokoregionalrezidiv 20,2 % (95%-CI 9,9–33,1) mit SBRT vs. 52,0 % (30,3–69,9) ohne SBRT (Hazard Ratio 0,44; p=0,022). Gesamtüberleben und PFS zeigten keinen Unterschied. Grad-3+-Nebenwirkungen 70 % vs. 64 % (p=0,27). Zwei behandlungsbedingte ernste unerwünschte Ereignisse unter SBRT.</w:t>
      </w:r>
    </w:p>
    <w:p>
      <w:r>
        <w:rPr>
          <w:b/>
          <w:sz w:val="19"/>
        </w:rPr>
        <w:t xml:space="preserve">Übertragbarkeit: </w:t>
      </w:r>
      <w:r>
        <w:rPr>
          <w:sz w:val="19"/>
        </w:rPr>
        <w:t>Australische/Neuseeländische Gesundheitssysteme; vergleichbar mit europäischem Versorgungsstandard; Transfer zu MASTERPLAN-ähnlichen deutschen Zentren möglich.</w:t>
      </w:r>
    </w:p>
    <w:p>
      <w:r>
        <w:rPr>
          <w:color w:val="5A7D3A"/>
          <w:sz w:val="18"/>
        </w:rPr>
        <w:t>https://pubmed.ncbi.nlm.nih.gov/42914998/</w:t>
      </w:r>
    </w:p>
    <w:p>
      <w:pPr>
        <w:pStyle w:val="Heading2"/>
      </w:pPr>
      <w:r>
        <w:t>Cervixkarzinom: ESMO-Leitlinie 2026 für Diagnostik, Therapie und Nachsorge</w:t>
      </w:r>
    </w:p>
    <w:p>
      <w:r>
        <w:rPr>
          <w:i/>
          <w:color w:val="666666"/>
          <w:sz w:val="18"/>
        </w:rPr>
        <w:t>Lorusso D et al.  ·  ESMO Open  ·  24.09.2026  ·  PMID 42914498</w:t>
      </w:r>
    </w:p>
    <w:p>
      <w:r>
        <w:t>Aktualisierte klinische Leitlinie der Europäischen Gesellschaft für Medizinische Onkologie zu Diagnose, Behandlung und Nachsorge des Cervixkarzinoms mit internationaler Expertenkonsensus.</w:t>
      </w:r>
    </w:p>
    <w:p>
      <w:r>
        <w:rPr>
          <w:b/>
        </w:rPr>
        <w:t xml:space="preserve">Ergebnis: </w:t>
      </w:r>
      <w:r>
        <w:t>Leitlinie mit consensus-basierten Empfehlungen zur Diagnostik (HPV-Screening, Konisation), Therapieoptionen nach Risikostratifizierung (Stadium, Histologie), Strahlentherapie-Standards und Nachsorge. Besondere Beachtung: Management früher Stadien, neoadjuvante vs. adjuvante Chemotherapie, Rolle von Immuntherapie in fortgeschrittenen Stadien.</w:t>
      </w:r>
    </w:p>
    <w:p>
      <w:r>
        <w:rPr>
          <w:b/>
          <w:sz w:val="19"/>
        </w:rPr>
        <w:t xml:space="preserve">Übertragbarkeit: </w:t>
      </w:r>
      <w:r>
        <w:rPr>
          <w:sz w:val="19"/>
        </w:rPr>
        <w:t>ESMO-Leitlinie mit europäischem Konsens; direkt übertragbar auf deutsche Leitlinienprozesse und Zertifizierungsvorgaben.</w:t>
      </w:r>
    </w:p>
    <w:p>
      <w:r>
        <w:rPr>
          <w:color w:val="5A7D3A"/>
          <w:sz w:val="18"/>
        </w:rPr>
        <w:t>https://pubmed.ncbi.nlm.nih.gov/42914498/</w:t>
      </w:r>
    </w:p>
    <w:p>
      <w:pPr>
        <w:pStyle w:val="Heading2"/>
      </w:pPr>
      <w:r>
        <w:t>STAT2-Intronretention korreliert mit Immuntherapie-Response bei Lungenadenokarzinom</w:t>
      </w:r>
    </w:p>
    <w:p>
      <w:r>
        <w:rPr>
          <w:i/>
          <w:color w:val="666666"/>
          <w:sz w:val="18"/>
        </w:rPr>
        <w:t>Englander RP et al.  ·  Science  ·  22.10.2026  ·  PMID 42912151</w:t>
      </w:r>
    </w:p>
    <w:p>
      <w:r>
        <w:t>Grundlagenforschung zur alternativen RNA-Spleiße: Long-read-Sequenzierung von Lungenadenokarzinomen identifiziert über 149.000 volle mRNA-Isoformen, von denen viele in Immungenen liegen; funktionale Charakterisierung von STAT2-Intronretention als Regulator der Interferon-Antwort und Prädiktor für PD-L1-Immuntherapie-Response.</w:t>
      </w:r>
    </w:p>
    <w:p>
      <w:r>
        <w:rPr>
          <w:b/>
        </w:rPr>
        <w:t xml:space="preserve">Ergebnis: </w:t>
      </w:r>
      <w:r>
        <w:t>Intronretention im STAT2-Gen erzeugt veränderte Protein-Isoformen, die Immunsignalisierung und Interferon-Antworten regulieren. STAT2-spezifische Intronretention korreliert mit Patientenüberleben nach Anti-PD-L1-Immuntherapie. Alternative Spleiße erkannt als Regulator der Tumor-Immunantwort; Intronretention als Interferon-regulatorische Achse mit Vorhersagekraft.</w:t>
      </w:r>
    </w:p>
    <w:p>
      <w:r>
        <w:rPr>
          <w:b/>
          <w:sz w:val="19"/>
        </w:rPr>
        <w:t xml:space="preserve">Übertragbarkeit: </w:t>
      </w:r>
      <w:r>
        <w:rPr>
          <w:sz w:val="19"/>
        </w:rPr>
        <w:t>Humane primäre Lungentumoren; molekularer Mechanismus mit Weg zur Klinik (Biomarker-Prädikation); USA-Studie, aber Biomarker-Befund therapieunabhängig.</w:t>
      </w:r>
    </w:p>
    <w:p>
      <w:r>
        <w:rPr>
          <w:color w:val="5A7D3A"/>
          <w:sz w:val="18"/>
        </w:rPr>
        <w:t>https://pubmed.ncbi.nlm.nih.gov/42912151/</w:t>
      </w:r>
    </w:p>
    <w:p>
      <w:pPr>
        <w:pStyle w:val="Heading2"/>
      </w:pPr>
      <w:r>
        <w:t>Mirvetuximab + Carboplatin beim platinsensitiven Ovarialkarzinom: 62,7 % Ansprechrate</w:t>
      </w:r>
    </w:p>
    <w:p>
      <w:r>
        <w:rPr>
          <w:i/>
          <w:color w:val="666666"/>
          <w:sz w:val="18"/>
        </w:rPr>
        <w:t>Konecny GE et al.  ·  Clin Cancer Res  ·  21.10.2026  ·  PMID 42905759</w:t>
      </w:r>
    </w:p>
    <w:p>
      <w:r>
        <w:t>Phase-2-Studie zur Kombination des Folat-Rezeptor-alpha-gerichteten Antikörper-Wirkstoff-Konjugats Mirvetuximab mit Carboplatin beim rezidivierten, platinsensitiven Ovarialkarzinom mit FRα-Expression.</w:t>
      </w:r>
    </w:p>
    <w:p>
      <w:r>
        <w:rPr>
          <w:b/>
        </w:rPr>
        <w:t xml:space="preserve">Ergebnis: </w:t>
      </w:r>
      <w:r>
        <w:t>ORR 62,7 % (95%-CI 52,6–72,1) in der FRα-≥50%-Gruppe; 81 % der Patienten setzten mit Monotherapie fort. Medianes PFS 11,0 Monate (9,8–13,1). Häufigste AEs: verschwommenes Sehen (81 %), Hornhautveränderungen (74 %, 96,7 % Grad ≤1). Pneumonitis-Rate 15,2 % (2 Todesfälle). 15 % Abbruch wegen Mirvetuximab, 9 % wegen Carboplatin.</w:t>
      </w:r>
    </w:p>
    <w:p>
      <w:r>
        <w:rPr>
          <w:b/>
          <w:sz w:val="19"/>
        </w:rPr>
        <w:t xml:space="preserve">Übertragbarkeit: </w:t>
      </w:r>
      <w:r>
        <w:rPr>
          <w:sz w:val="19"/>
        </w:rPr>
        <w:t>Nordamerikanische und europäische Sites; FRα-Expression messbar in deutschen Pathologien; Antikörper-Wirkstoff-Konjugate etablierte Substanzklasse.</w:t>
      </w:r>
    </w:p>
    <w:p>
      <w:r>
        <w:rPr>
          <w:color w:val="5A7D3A"/>
          <w:sz w:val="18"/>
        </w:rPr>
        <w:t>https://pubmed.ncbi.nlm.nih.gov/42905759/</w:t>
      </w:r>
    </w:p>
    <w:p>
      <w:pPr>
        <w:pStyle w:val="Heading1"/>
      </w:pPr>
      <w:r>
        <w:t>Aufgenommen am 24.10.2026</w:t>
      </w:r>
    </w:p>
    <w:p>
      <w:pPr>
        <w:pStyle w:val="Heading2"/>
      </w:pPr>
      <w:r>
        <w:t>Capivasertib + Abiraterone verlängert Gesamtüberleben bei PTEN-defizienten Prostatakrebsen</w:t>
      </w:r>
    </w:p>
    <w:p>
      <w:r>
        <w:rPr>
          <w:i/>
          <w:color w:val="666666"/>
          <w:sz w:val="18"/>
        </w:rPr>
        <w:t>Fizazi K et al.  ·  Ann Oncol  ·  23.10.2026  ·  PMID 42918424</w:t>
      </w:r>
    </w:p>
    <w:p>
      <w:r>
        <w:t>Randomisierte Phase-III-Studie zur Wirksamkeit von Capivasertib (ein Protein-Kinase-B-Inhibitor) plus Abiraterone gegen Placebo plus Abiraterone bei Patienten mit neu diagnostiziertem metastasiertem, hormonempfindlichem Prostatakarzinom und PTEN-Mangel.</w:t>
      </w:r>
    </w:p>
    <w:p>
      <w:r>
        <w:rPr>
          <w:b/>
        </w:rPr>
        <w:t xml:space="preserve">Ergebnis: </w:t>
      </w:r>
      <w:r>
        <w:t>Bei 42 % Reife der Gesamtüberlebensdaten (Median Follow-up 39 Monate) zeigte sich ein Gesamtüberlebensvorteil für Capivasertib plus Abiraterone: Medianales Gesamtüberleben 57,4 vs. 46,5 Monate (Hazard Ratio 0,82; 95%-KI 0,68–0,99; P = 0,044). Die Progression-Free-Survival betrug 35,5 vs. 26,0 Monate (HR 0,83; 95%-KI 0,70–0,99). Das Sicherheitsprofil blieb konsistent mit früheren Analysen.</w:t>
      </w:r>
    </w:p>
    <w:p>
      <w:r>
        <w:rPr>
          <w:b/>
          <w:sz w:val="19"/>
        </w:rPr>
        <w:t xml:space="preserve">Übertragbarkeit: </w:t>
      </w:r>
      <w:r>
        <w:rPr>
          <w:sz w:val="19"/>
        </w:rPr>
        <w:t>Europäische Zentren beteiligt; PTEN-Test erlaubt, Targeted Therapy verfügbar.</w:t>
      </w:r>
    </w:p>
    <w:p>
      <w:r>
        <w:rPr>
          <w:color w:val="5A7D3A"/>
          <w:sz w:val="18"/>
        </w:rPr>
        <w:t>https://pubmed.ncbi.nlm.nih.gov/42918424/</w:t>
      </w:r>
    </w:p>
    <w:p>
      <w:pPr>
        <w:pStyle w:val="Heading2"/>
      </w:pPr>
      <w:r>
        <w:t>Ribociclib + Aromatasehemmer verbessert Gesamtüberleben im frühen Brustkrebs</w:t>
      </w:r>
    </w:p>
    <w:p>
      <w:r>
        <w:rPr>
          <w:i/>
          <w:color w:val="666666"/>
          <w:sz w:val="18"/>
        </w:rPr>
        <w:t>Slamon DJ et al.  ·  Ann Oncol  ·  23.10.2026  ·  PMID 42918423</w:t>
      </w:r>
    </w:p>
    <w:p>
      <w:r>
        <w:t>Randomisierte Phase-III-NATALEE-Studie zur Wirksamkeit von Ribociclib (CDK4/6-Inhibitor) plus Nichtsteroidal-Aromatasehemmer versus Aromatasehemmer allein in adjuvanter Therapie bei hormonrezeptor-positivem/HER2-negativem frühem Brustkrebs mit hohem Risiko über 6 Jahre.</w:t>
      </w:r>
    </w:p>
    <w:p>
      <w:r>
        <w:rPr>
          <w:b/>
        </w:rPr>
        <w:t xml:space="preserve">Ergebnis: </w:t>
      </w:r>
      <w:r>
        <w:t>Bei medianer Nachbeobachtung von 66,5 Monaten zeigte Ribociclib plus NSAI einen Gesamtüberlebensvorteil (6-Jahres-Delta 2,1 %; HR 0,809; 95%-KI 0,661–0,989; P = 0,019). Die Invasive-Disease-Free-Survival verbesserte sich (6-Jahres-Delta 5,3 %; HR 0,741; 95%-KI 0,646–0,849). Keine neuen Sicherheitssignale.</w:t>
      </w:r>
    </w:p>
    <w:p>
      <w:r>
        <w:rPr>
          <w:b/>
          <w:sz w:val="19"/>
        </w:rPr>
        <w:t xml:space="preserve">Übertragbarkeit: </w:t>
      </w:r>
      <w:r>
        <w:rPr>
          <w:sz w:val="19"/>
        </w:rPr>
        <w:t>Deutsche Zentren teil der globalen Studie; CDK4/6-Inhibitor standard zertifiziert.</w:t>
      </w:r>
    </w:p>
    <w:p>
      <w:r>
        <w:rPr>
          <w:color w:val="5A7D3A"/>
          <w:sz w:val="18"/>
        </w:rPr>
        <w:t>https://pubmed.ncbi.nlm.nih.gov/42918423/</w:t>
      </w:r>
    </w:p>
    <w:p>
      <w:pPr>
        <w:pStyle w:val="Heading2"/>
      </w:pPr>
      <w:r>
        <w:t>Perioperatives Pembrolizumab verbessert Blasenkrebs-Outcomes nicht signifikant</w:t>
      </w:r>
    </w:p>
    <w:p>
      <w:r>
        <w:rPr>
          <w:i/>
          <w:color w:val="666666"/>
          <w:sz w:val="18"/>
        </w:rPr>
        <w:t>Bedke J et al.  ·  Ann Oncol  ·  23.10.2026  ·  PMID 42918422</w:t>
      </w:r>
    </w:p>
    <w:p>
      <w:r>
        <w:t>Randomisierte Phase-III-KEYNOTE-866-Studie zur Wirksamkeit von perioperativem Pembrolizumab (Immune Checkpoint Inhibitor) versus Placebo zusätzlich zu neoadjuvanter Chemotherapie und radikaler Zystektomie bei muskelinvasivem Blasenkrebs.</w:t>
      </w:r>
    </w:p>
    <w:p>
      <w:r>
        <w:rPr>
          <w:b/>
        </w:rPr>
        <w:t xml:space="preserve">Ergebnis: </w:t>
      </w:r>
      <w:r>
        <w:t>Bei Median-Follow-up von 60,9 Monaten war die Event-Free-Survival bei 60 Monaten 63,5 % mit Pembrolizumab vs. 61,9 % mit Placebo (HR 0,88; 95%-KI 0,71–1,10; P = 0,1366; nicht signifikant). Pathologische komplette Response 44,4 % vs. 35,8 %. Mediales Gesamtüberleben wurde in beiden Gruppen nicht erreicht (HR 1,00). Grad-≥3-Nebenwirkungen: 80,2 % vs. 75,1 %.</w:t>
      </w:r>
    </w:p>
    <w:p>
      <w:r>
        <w:rPr>
          <w:b/>
          <w:sz w:val="19"/>
        </w:rPr>
        <w:t xml:space="preserve">Übertragbarkeit: </w:t>
      </w:r>
      <w:r>
        <w:rPr>
          <w:sz w:val="19"/>
        </w:rPr>
        <w:t>Europäische und internationale Zentren; Checkpoint-Inhibitor in dieser Indikation nicht standard.</w:t>
      </w:r>
    </w:p>
    <w:p>
      <w:r>
        <w:rPr>
          <w:color w:val="5A7D3A"/>
          <w:sz w:val="18"/>
        </w:rPr>
        <w:t>https://pubmed.ncbi.nlm.nih.gov/42918422/</w:t>
      </w:r>
    </w:p>
    <w:p>
      <w:pPr>
        <w:pStyle w:val="Heading2"/>
      </w:pPr>
      <w:r>
        <w:t>Aktive Überwachung gleichwertig zu Operation bei Speiseröhrenkrebs nach Chemoradiotherapie</w:t>
      </w:r>
    </w:p>
    <w:p>
      <w:r>
        <w:rPr>
          <w:i/>
          <w:color w:val="666666"/>
          <w:sz w:val="18"/>
        </w:rPr>
        <w:t>Panday SSGG et al.  ·  Ann Oncol  ·  23.10.2026  ·  PMID 42918421</w:t>
      </w:r>
    </w:p>
    <w:p>
      <w:r>
        <w:t>Multizentrische, stepped-wedge-randomisierte Nichtunterlegenheitsstudie (Niederlande) zu aktiver Überwachung versus Standard-Ösophagektomie nach neoadjuvanter Chemoradiotherapie bei 309 Patienten mit lokal fortgeschrittenem Ösophaguskrebs und kompletter klinischer Response.</w:t>
      </w:r>
    </w:p>
    <w:p>
      <w:r>
        <w:rPr>
          <w:b/>
        </w:rPr>
        <w:t xml:space="preserve">Ergebnis: </w:t>
      </w:r>
      <w:r>
        <w:t>Bei medianer Nachbeobachtung von 76 Monaten: 5-Jahres-Gesamtüberleben 50 % (95%-KI 43–57 %) aktive Überwachung vs. 54 % (95%-KI 46–64 %) Standard-OP (HR 1,17; 95%-KI 0,77–1,77), nicht signifikant unterschiedlich. Krankheitsfreies Überleben: HR 1,39 (95%-KI 0,94–2,06). Fernmetastasen bei 5 Jahren höher in aktiver Überwachung (46 % vs. 29 %; P &lt; 0,01). 43 % der Patienten unter aktiver Überwachung vermieden Ösophagektomie.</w:t>
      </w:r>
    </w:p>
    <w:p>
      <w:r>
        <w:rPr>
          <w:b/>
          <w:sz w:val="19"/>
        </w:rPr>
        <w:t xml:space="preserve">Übertragbarkeit: </w:t>
      </w:r>
      <w:r>
        <w:rPr>
          <w:sz w:val="19"/>
        </w:rPr>
        <w:t>Niederländische Studie, vergleichbares Versicherungssystem; Watch-and-Wait-Strategie nach nCRT established.</w:t>
      </w:r>
    </w:p>
    <w:p>
      <w:r>
        <w:rPr>
          <w:color w:val="5A7D3A"/>
          <w:sz w:val="18"/>
        </w:rPr>
        <w:t>https://pubmed.ncbi.nlm.nih.gov/42918421/</w:t>
      </w:r>
    </w:p>
    <w:p>
      <w:pPr>
        <w:pStyle w:val="Heading2"/>
      </w:pPr>
      <w:r>
        <w:t>Neoadjuvantes Nivolumab + Chemotherapie verbessert Blasenkrebsergebnisse nicht</w:t>
      </w:r>
    </w:p>
    <w:p>
      <w:r>
        <w:rPr>
          <w:i/>
          <w:color w:val="666666"/>
          <w:sz w:val="18"/>
        </w:rPr>
        <w:t>Sonpavde G et al.  ·  Ann Oncol  ·  31.12.2026  ·  PMID 42918420</w:t>
      </w:r>
    </w:p>
    <w:p>
      <w:r>
        <w:t>Randomisierte Phase-III-CA017-078(ENERGIZE)-Studie zu perioperativem Nivolumab plus Gemcitabin-Cisplatin versus Gemcitabin-Cisplatin allein bei muskelinvasivem Blasenkrebs und Cisplatin-Eignung.</w:t>
      </w:r>
    </w:p>
    <w:p>
      <w:r>
        <w:rPr>
          <w:b/>
        </w:rPr>
        <w:t xml:space="preserve">Ergebnis: </w:t>
      </w:r>
      <w:r>
        <w:t>Bei 54,5 Monaten medianer Nachbeobachtung (325 vs. 328 Patienten): Pathologische komplette Response 39,1 % vs. 29,6 % (adjustierte Differenz 9,5 %; 99,91%-KI −2,6 bis 21,6). Event-Free-Survival zeigte keinen Vorteil (104 Events je Arm; HR 0,94; 95,74%-KI 0,71–1,25; P = 0,6697). Gesamtüberleben: HR 0,88 (deskriptiv, da EFS-Kriterium nicht erfüllt). ctDNA-Clearance bei Zyklus 4: 76,9 % insgesamt; ctDNA prognostisch für EFS und OS.</w:t>
      </w:r>
    </w:p>
    <w:p>
      <w:r>
        <w:rPr>
          <w:b/>
          <w:sz w:val="19"/>
        </w:rPr>
        <w:t xml:space="preserve">Übertragbarkeit: </w:t>
      </w:r>
      <w:r>
        <w:rPr>
          <w:sz w:val="19"/>
        </w:rPr>
        <w:t>Europäische und internationale Zentren; Nivolumab-Kombination in dieser Indikation nicht standard.</w:t>
      </w:r>
    </w:p>
    <w:p>
      <w:r>
        <w:rPr>
          <w:color w:val="5A7D3A"/>
          <w:sz w:val="18"/>
        </w:rPr>
        <w:t>https://pubmed.ncbi.nlm.nih.gov/42918420/</w:t>
      </w:r>
    </w:p>
    <w:p>
      <w:pPr>
        <w:pStyle w:val="Heading2"/>
      </w:pPr>
      <w:r>
        <w:t>Kohlenstoff-Ionentherapie zeigt ermutigende Ergebnisse bei Pankreaskrebs</w:t>
      </w:r>
    </w:p>
    <w:p>
      <w:r>
        <w:rPr>
          <w:i/>
          <w:color w:val="666666"/>
          <w:sz w:val="18"/>
        </w:rPr>
        <w:t>Liermann J et al.  ·  Radiother Oncol  ·  22.10.2026  ·  PMID 42913944</w:t>
      </w:r>
    </w:p>
    <w:p>
      <w:r>
        <w:t>Prospektive Phase-II-PACK-Studie zur Wirksamkeit und Sicherheit von Kohlenstoff-Ionenradiotherapie (CIRT) mit gleichzeitiger Gemcitabin-Chemotherapie bei 23 Patienten mit inoperablem oder lokal rezidiviertem Pankreaskrebs.</w:t>
      </w:r>
    </w:p>
    <w:p>
      <w:r>
        <w:rPr>
          <w:b/>
        </w:rPr>
        <w:t xml:space="preserve">Ergebnis: </w:t>
      </w:r>
      <w:r>
        <w:t>1- und 2-Jahres-Gesamtüberleben betrugen 78 % (95%-KI 63–97 %) und 59 % (95%-KI 41–84 %); Median 26,5 Monate. 1- und 2-Jahres-PFS: 26 % (95%-KI 13–52 %) und 10 % (95%-KI 3–37 %); Median 8,1 Monate. Toxizität: 3 Grad-3-Ereignisse (Bauchschmerzen, obere GI-Blutung, Ureterstriktuur); keine Grad-4/5-Toxizitäten.</w:t>
      </w:r>
    </w:p>
    <w:p>
      <w:r>
        <w:rPr>
          <w:b/>
          <w:sz w:val="19"/>
        </w:rPr>
        <w:t xml:space="preserve">Übertragbarkeit: </w:t>
      </w:r>
      <w:r>
        <w:rPr>
          <w:sz w:val="19"/>
        </w:rPr>
        <w:t>Deutsche Studie (Heidelberg); CIRT-Kapazität in Deutschland begrenzt, erfordert Phase-III-Validation.</w:t>
      </w:r>
    </w:p>
    <w:p>
      <w:r>
        <w:rPr>
          <w:color w:val="5A7D3A"/>
          <w:sz w:val="18"/>
        </w:rPr>
        <w:t>https://pubmed.ncbi.nlm.nih.gov/42913944/</w:t>
      </w:r>
    </w:p>
    <w:p>
      <w:pPr>
        <w:pStyle w:val="Heading1"/>
      </w:pPr>
      <w:r>
        <w:t>Aufgenommen am 23.10.2026</w:t>
      </w:r>
    </w:p>
    <w:p>
      <w:pPr>
        <w:pStyle w:val="Heading2"/>
      </w:pPr>
      <w:r>
        <w:t>Neoadjuvante Immunotherapie bei dMMR-Kolonkarzinom: 100% DFS und OS nach 3-5 Jahren</w:t>
      </w:r>
    </w:p>
    <w:p>
      <w:r>
        <w:rPr>
          <w:i/>
          <w:color w:val="666666"/>
          <w:sz w:val="18"/>
        </w:rPr>
        <w:t>Chalabi M et al.  ·  Lancet  ·  21.10.2026  ·  PMID 42906564</w:t>
      </w:r>
    </w:p>
    <w:p>
      <w:r>
        <w:t>Patienten mit lokal fortgeschrittenem Mismatch-Repair-defizientem Kolonkarzinom erhielten vor der Operation Ipilimumab und Nivolumab.</w:t>
      </w:r>
    </w:p>
    <w:p>
      <w:r>
        <w:rPr>
          <w:b/>
        </w:rPr>
        <w:t xml:space="preserve">Ergebnis: </w:t>
      </w:r>
      <w:r>
        <w:t>Von 111 auswertbaren Patienten betrug die 3-Jahres-Krankheitsfreie Überleben 100% (97,5%-KI 100-100%) und das 5-Jahres-Gesamtüberleben 100% (95%-KI 100-100%). ctDNA-Clearance zeigte sich nach dem zweiten Zyklus bei 82% der Patienten mit verfügbarem Plasma. Diese Ergebnisse unterstützen neoadjuvante Checkpoint-Inhibition als potenzieller neuer Standard für dieses Patientengut.</w:t>
      </w:r>
    </w:p>
    <w:p>
      <w:r>
        <w:rPr>
          <w:b/>
          <w:sz w:val="19"/>
        </w:rPr>
        <w:t xml:space="preserve">Übertragbarkeit: </w:t>
      </w:r>
      <w:r>
        <w:rPr>
          <w:sz w:val="19"/>
        </w:rPr>
        <w:t>Niederlande, vergleichbares Versicherungssystem, Multi-Center-Studie mit europäischen Zentren</w:t>
      </w:r>
    </w:p>
    <w:p>
      <w:r>
        <w:rPr>
          <w:color w:val="5A7D3A"/>
          <w:sz w:val="18"/>
        </w:rPr>
        <w:t>https://pubmed.ncbi.nlm.nih.gov/42906564/</w:t>
      </w:r>
    </w:p>
    <w:p>
      <w:pPr>
        <w:pStyle w:val="Heading2"/>
      </w:pPr>
      <w:r>
        <w:t>CD20-gerichtete CAR-T-Zelltherapie bei rezidivierendem B-Lymphom: responder zeigen anhaltendes Ansprechen</w:t>
      </w:r>
    </w:p>
    <w:p>
      <w:r>
        <w:rPr>
          <w:i/>
          <w:color w:val="666666"/>
          <w:sz w:val="18"/>
        </w:rPr>
        <w:t>Kutsch N et al.  ·  Eur J Cancer  ·  16.10.2026  ·  PMID 42906410</w:t>
      </w:r>
    </w:p>
    <w:p>
      <w:r>
        <w:t>Phase-I-Dosiseskalationsstudie in Deutschland zur CD20-gerichteten CAR-T-Zelltherapie MB-CART20.1 bei 9 schwer vorbehandelten Patienten mit therapieresistentem B-NHL.</w:t>
      </w:r>
    </w:p>
    <w:p>
      <w:r>
        <w:rPr>
          <w:b/>
        </w:rPr>
        <w:t xml:space="preserve">Ergebnis: </w:t>
      </w:r>
      <w:r>
        <w:t>Beste Ansprechrate 56%, davon 33% komplette Remissionen (CR). Ein CR blieb über 5 Jahre stabil. Eine dosislimitierende Toxizität (Grad-4-Neutropenie) bei höherer Dosis. Keine Grad ≥3 Zytokin-Freisetzungssyndrom. CAR-T-Zell-Expansion korrelierte mit klinischem Ansprechen (maximale Zellzahl höher bei Respondern, p=0,0369).</w:t>
      </w:r>
    </w:p>
    <w:p>
      <w:r>
        <w:rPr>
          <w:b/>
          <w:sz w:val="19"/>
        </w:rPr>
        <w:t xml:space="preserve">Übertragbarkeit: </w:t>
      </w:r>
      <w:r>
        <w:rPr>
          <w:sz w:val="19"/>
        </w:rPr>
        <w:t>Deutschland, Universitätsklinik Köln, vergleichbare Gesundheitssysteme, CAR-T-Herstellung vor Ort</w:t>
      </w:r>
    </w:p>
    <w:p>
      <w:r>
        <w:rPr>
          <w:color w:val="5A7D3A"/>
          <w:sz w:val="18"/>
        </w:rPr>
        <w:t>https://pubmed.ncbi.nlm.nih.gov/42906410/</w:t>
      </w:r>
    </w:p>
    <w:p>
      <w:pPr>
        <w:pStyle w:val="Heading1"/>
      </w:pPr>
      <w:r>
        <w:t>Aufgenommen am 22.10.2026</w:t>
      </w:r>
    </w:p>
    <w:p>
      <w:pPr>
        <w:pStyle w:val="Heading2"/>
      </w:pPr>
      <w:r>
        <w:t>Eosinophile im Blut prognostizieren Rezidivrisiko bei HR+/HER2- Brustkrebs</w:t>
      </w:r>
    </w:p>
    <w:p>
      <w:r>
        <w:rPr>
          <w:i/>
          <w:color w:val="666666"/>
          <w:sz w:val="18"/>
        </w:rPr>
        <w:t>Li ZQ et al.  ·  J Clin Oncol  ·  20.10.2026  ·  PMID 42900864</w:t>
      </w:r>
    </w:p>
    <w:p>
      <w:r>
        <w:t>Studie bei 472 Patienten mit HR+/HER2- Brustkrebs zu Assoziation erhöhter zirkulierender Eosinophilen mit Therapieergebnis.</w:t>
      </w:r>
    </w:p>
    <w:p>
      <w:r>
        <w:rPr>
          <w:b/>
        </w:rPr>
        <w:t xml:space="preserve">Ergebnis: </w:t>
      </w:r>
      <w:r>
        <w:t>Höhere präoperative Eosinophilenzahl korrelierte mit signifikant verbessertem rezidivfreiem Überleben (gemessen an fernmetastasenfreiem Überleben). Erhöhte Eosinophilen zeigten additive prognostische Wertigkeit über den 21-Gen-Recurrence-Score hinaus und ließen in der hochriskanten Subgruppe bessere CDK4/6-Inhibitor-Response vorhersagen. In Validierungskohorten (N=23.170) und Tiermodellen bestätigt.</w:t>
      </w:r>
    </w:p>
    <w:p>
      <w:r>
        <w:rPr>
          <w:b/>
          <w:sz w:val="19"/>
        </w:rPr>
        <w:t xml:space="preserve">Übertragbarkeit: </w:t>
      </w:r>
      <w:r>
        <w:rPr>
          <w:sz w:val="19"/>
        </w:rPr>
        <w:t>China, Multiomik-Daten transferierbar auf deutsche Praxiskonzepte zur Risikoschichtung</w:t>
      </w:r>
    </w:p>
    <w:p>
      <w:r>
        <w:rPr>
          <w:color w:val="5A7D3A"/>
          <w:sz w:val="18"/>
        </w:rPr>
        <w:t>https://pubmed.ncbi.nlm.nih.gov/42900864/</w:t>
      </w:r>
    </w:p>
    <w:p>
      <w:pPr>
        <w:pStyle w:val="Heading2"/>
      </w:pPr>
      <w:r>
        <w:t>Lokal ablative Therapie bei HR+/HER2- oligometastasiertem Brustkrebs verbessert Überleben</w:t>
      </w:r>
    </w:p>
    <w:p>
      <w:r>
        <w:rPr>
          <w:i/>
          <w:color w:val="666666"/>
          <w:sz w:val="18"/>
        </w:rPr>
        <w:t>Lacaze JL et al.  ·  Oncologist  ·  19.10.2026  ·  PMID 42898011</w:t>
      </w:r>
    </w:p>
    <w:p>
      <w:r>
        <w:t>Retrospektive Kohorte (2012–2020) mit 145 Patienten mit HR+/HER2- oligometastasiertem Brustkrebs (≤5 Metastasen) zur Frage, wann lokal ablative Therapie (LAT) das Überleben verbessert.</w:t>
      </w:r>
    </w:p>
    <w:p>
      <w:r>
        <w:rPr>
          <w:b/>
        </w:rPr>
        <w:t xml:space="preserve">Ergebnis: </w:t>
      </w:r>
      <w:r>
        <w:t>Mediane OS 81,1 Monate, mediane PFS 26,5 Monate. LAT verbesserte PFS (HR=0,52; 95%-KI 0,29–0,91; p=0,023). Bei Staging mit moderner Bildgebung (18F-FDG-PET/CT oder WB-MRI) zeigte LAT signifikante Verbesserung von OS (HR=0,29; 95%-KI 0,12–0,73; p=0,008) und PFS. Nur 18% entwickelten polymetastatische Progression nach First-line-Therapie.</w:t>
      </w:r>
    </w:p>
    <w:p>
      <w:r>
        <w:rPr>
          <w:b/>
          <w:sz w:val="19"/>
        </w:rPr>
        <w:t xml:space="preserve">Übertragbarkeit: </w:t>
      </w:r>
      <w:r>
        <w:rPr>
          <w:sz w:val="19"/>
        </w:rPr>
        <w:t>Französische Spezialistklinik, Therapieentscheidungen übertragbar auf deutsche Tumorzentren</w:t>
      </w:r>
    </w:p>
    <w:p>
      <w:r>
        <w:rPr>
          <w:color w:val="5A7D3A"/>
          <w:sz w:val="18"/>
        </w:rPr>
        <w:t>https://pubmed.ncbi.nlm.nih.gov/42898011/</w:t>
      </w:r>
    </w:p>
    <w:p>
      <w:pPr>
        <w:pStyle w:val="Heading2"/>
      </w:pPr>
      <w:r>
        <w:t>Real-World-PFS validiert als Surrogatendpunkt für Gesamtüberleben bei metastasiertem Brustkrebs</w:t>
      </w:r>
    </w:p>
    <w:p>
      <w:r>
        <w:rPr>
          <w:i/>
          <w:color w:val="666666"/>
          <w:sz w:val="18"/>
        </w:rPr>
        <w:t>Labaki C et al.  ·  J Natl Cancer Inst  ·  19.10.2026  ·  PMID 42898006</w:t>
      </w:r>
    </w:p>
    <w:p>
      <w:r>
        <w:t>Retrospektive US-Kohortenstudie (Flatiron Health) mit 19.164 Patienten mit metastasiertem Brustkrebs zur Validierung von Intermediate Clinical Endpoints als Surrogate für Overall Survival.</w:t>
      </w:r>
    </w:p>
    <w:p>
      <w:r>
        <w:rPr>
          <w:b/>
        </w:rPr>
        <w:t xml:space="preserve">Ergebnis: </w:t>
      </w:r>
      <w:r>
        <w:t>Mediane OS 36,3 Monate (95%-KI 35,6–37,2). Real-World-PFS, Time to Next Line und Time to Last Treatment Administration zeigten hohe Korrelation mit OS (Kendall's tau ≥0,5; R²≥0,7 bei 36-Monats-OS und 12-Monats-Raten). Nur rwPFS erfüllte beide Surrogacy-Bedingungen mit R²≥0,7 über alle Subgruppenvergleiche.</w:t>
      </w:r>
    </w:p>
    <w:p>
      <w:r>
        <w:rPr>
          <w:b/>
          <w:sz w:val="19"/>
        </w:rPr>
        <w:t xml:space="preserve">Übertragbarkeit: </w:t>
      </w:r>
      <w:r>
        <w:rPr>
          <w:sz w:val="19"/>
        </w:rPr>
        <w:t>USA-Versorgungsdaten, Rahmenwerk übertragbar auf deutsche Real-World-Analysen</w:t>
      </w:r>
    </w:p>
    <w:p>
      <w:r>
        <w:rPr>
          <w:color w:val="5A7D3A"/>
          <w:sz w:val="18"/>
        </w:rPr>
        <w:t>https://pubmed.ncbi.nlm.nih.gov/42898006/</w:t>
      </w:r>
    </w:p>
    <w:p>
      <w:pPr>
        <w:pStyle w:val="Heading2"/>
      </w:pPr>
      <w:r>
        <w:t>Baseline-Lungenabnormitäten erhöhen Risiko für T-DXd-bedingte interstitielle Lungenerkrankung</w:t>
      </w:r>
    </w:p>
    <w:p>
      <w:r>
        <w:rPr>
          <w:i/>
          <w:color w:val="666666"/>
          <w:sz w:val="18"/>
        </w:rPr>
        <w:t>Nakamura T et al.  ·  Oncologist  ·  19.10.2026  ·  PMID 42897999</w:t>
      </w:r>
    </w:p>
    <w:p>
      <w:r>
        <w:t>Retrospektive Kohorte (156 Patienten, Juni 2020–Mai 2025) in Japan zu Baseline-CT-Befunden vor T-DXd-Therapie und deren Assoziation mit T-DXd-bedingter interstitieller Lungenerkrankung (ILD).</w:t>
      </w:r>
    </w:p>
    <w:p>
      <w:r>
        <w:rPr>
          <w:b/>
        </w:rPr>
        <w:t xml:space="preserve">Ergebnis: </w:t>
      </w:r>
      <w:r>
        <w:t>T-DXd-bedingte ILD trat in 31 Patienten auf (20%). Bei Baseline-ILAs waren es 19/50 (38%), ohne ILAs 12/106 (11%). Baseline-ILA-Status assoziiert mit erhöhter kumulativer ILD-Inzidenz (Subdistribution-Hazard-Ratio 3,56; 95%-KI 1,63–7,78; p=0,001). Kein signifikanter Unterschied zwischen equivokalen und definitiven ILAs. Kein Unterschied in PFS oder OS nach ILA-Status.</w:t>
      </w:r>
    </w:p>
    <w:p>
      <w:r>
        <w:rPr>
          <w:b/>
          <w:sz w:val="19"/>
        </w:rPr>
        <w:t xml:space="preserve">Übertragbarkeit: </w:t>
      </w:r>
      <w:r>
        <w:rPr>
          <w:sz w:val="19"/>
        </w:rPr>
        <w:t>Japan, Sicherheitsmonitoring übertragbar auf deutsche Praxen mit T-DXd-Einsatz</w:t>
      </w:r>
    </w:p>
    <w:p>
      <w:r>
        <w:rPr>
          <w:color w:val="5A7D3A"/>
          <w:sz w:val="18"/>
        </w:rPr>
        <w:t>https://pubmed.ncbi.nlm.nih.gov/42897999/</w:t>
      </w:r>
    </w:p>
    <w:p>
      <w:pPr>
        <w:pStyle w:val="Heading2"/>
      </w:pPr>
      <w:r>
        <w:t>TACL-Konsensus: kardiotoxizitätsgerechte Dosisindividualisierung in pädiatrischen Relaps-Studien</w:t>
      </w:r>
    </w:p>
    <w:p>
      <w:r>
        <w:rPr>
          <w:i/>
          <w:color w:val="666666"/>
          <w:sz w:val="18"/>
        </w:rPr>
        <w:t>Colace SI et al.  ·  J Natl Cancer Inst  ·  19.10.2026  ·  PMID 42895291</w:t>
      </w:r>
    </w:p>
    <w:p>
      <w:r>
        <w:t>Konsensus-Task-Force des TACL-Konsortiums zu evidenzgestützten Empfehlungen für kardialen Screening, Monitoring und Cardioprotection bei Kindern mit rezidiviertem/refraktärem hämatologischem Malignom in Relaps-Studien.</w:t>
      </w:r>
    </w:p>
    <w:p>
      <w:r>
        <w:rPr>
          <w:b/>
        </w:rPr>
        <w:t xml:space="preserve">Ergebnis: </w:t>
      </w:r>
      <w:r>
        <w:t>Fünf Leitempfehlungen: (1) Therapieausschluss basierend auf individuellen Risikofaktoren und realtimem Cardiac Function statt historischen Anthrazyklin-Dosen; (2) umfassendes Monitoring vor, während und nach Therapie erforderlich; (3) liberale Cardioprotection empfohlen; (4) einheitliche, evidenzgestützte Managementprotokolle für kardiale Dysfunktion; (5) Korrelative Cardiac Aims sollten Protokolle mit kardiotoxischem Potenzial begleiten.</w:t>
      </w:r>
    </w:p>
    <w:p>
      <w:r>
        <w:rPr>
          <w:b/>
          <w:sz w:val="19"/>
        </w:rPr>
        <w:t xml:space="preserve">Übertragbarkeit: </w:t>
      </w:r>
      <w:r>
        <w:rPr>
          <w:sz w:val="19"/>
        </w:rPr>
        <w:t>USA-Kinderkrebszentren, Ansätze übertragbar auf deutsche Zentren für pädiatrische Relaps-Behandlung</w:t>
      </w:r>
    </w:p>
    <w:p>
      <w:r>
        <w:rPr>
          <w:color w:val="5A7D3A"/>
          <w:sz w:val="18"/>
        </w:rPr>
        <w:t>https://pubmed.ncbi.nlm.nih.gov/42895291/</w:t>
      </w:r>
    </w:p>
    <w:p>
      <w:pPr>
        <w:pStyle w:val="Heading2"/>
      </w:pPr>
      <w:r>
        <w:t>Proteom-Biomarker unterscheiden präklinisch Kolon- von Rektumkarzinom-Risiko</w:t>
      </w:r>
    </w:p>
    <w:p>
      <w:r>
        <w:rPr>
          <w:i/>
          <w:color w:val="666666"/>
          <w:sz w:val="18"/>
        </w:rPr>
        <w:t>Zhang X et al.  ·  J Natl Cancer Inst  ·  19.10.2026  ·  PMID 42895287</w:t>
      </w:r>
    </w:p>
    <w:p>
      <w:r>
        <w:t>Prospektive Kohortenstudie (3 Kohorten, 851 KRK-Fälle, Median 7 Jahre Follow-up) zu prädiagnostischen Plasma-Proteinen 1–7 Jahre vor Krebsdiagnose mittels Olink-Panel.</w:t>
      </w:r>
    </w:p>
    <w:p>
      <w:r>
        <w:rPr>
          <w:b/>
        </w:rPr>
        <w:t xml:space="preserve">Ergebnis: </w:t>
      </w:r>
      <w:r>
        <w:t>12 Proteine zeigten signifikante gepaarte Unterschiede zwischen KRK-Fällen und Kontrollen (FDR&lt;0,1) mit moderaten Effektgrößen. Protein-Profile unterschieden sich signifikant zwischen Kolon- und Rektumkarzinom (p=0,005). Für Kolonkarzinom: 11/12 Proteine niedriger, BCAN-Assoziation OR 0,83 (95%-KI 0,74–0,94) mit hoher Kohärenz (I²&lt;0,01). Für Rektumkarzinom: 25/28 Proteine höher, HDGF OR 1,75 (95%-KI 1,15–2,66; I²&lt;0,01).</w:t>
      </w:r>
    </w:p>
    <w:p>
      <w:r>
        <w:rPr>
          <w:b/>
          <w:sz w:val="19"/>
        </w:rPr>
        <w:t xml:space="preserve">Übertragbarkeit: </w:t>
      </w:r>
      <w:r>
        <w:rPr>
          <w:sz w:val="19"/>
        </w:rPr>
        <w:t>USA &amp; Australien, Proteom-Klassifizierung grundlagenorientiert, Validierung in EU-Kohorten pending</w:t>
      </w:r>
    </w:p>
    <w:p>
      <w:r>
        <w:rPr>
          <w:color w:val="5A7D3A"/>
          <w:sz w:val="18"/>
        </w:rPr>
        <w:t>https://pubmed.ncbi.nlm.nih.gov/42895287/</w:t>
      </w:r>
    </w:p>
    <w:p>
      <w:pPr>
        <w:pStyle w:val="Heading1"/>
      </w:pPr>
      <w:r>
        <w:t>Aufgenommen am 21.10.2026</w:t>
      </w:r>
    </w:p>
    <w:p>
      <w:pPr>
        <w:pStyle w:val="Heading2"/>
      </w:pPr>
      <w:r>
        <w:t>Genetische Varianten als Risikofaktoren für Trastuzumab-Deruxtecan-bedingte Lungentoxizität</w:t>
      </w:r>
    </w:p>
    <w:p>
      <w:r>
        <w:rPr>
          <w:i/>
          <w:color w:val="666666"/>
          <w:sz w:val="18"/>
        </w:rPr>
        <w:t>Arenas A et al.  ·  ESMO Open  ·  20.10.2026  ·  PMID 42901050</w:t>
      </w:r>
    </w:p>
    <w:p>
      <w:r>
        <w:t>Spanische multizentrische Studie untersuchte Keimbahnvarianten bei 290 Patienten mit HER2-positivem oder HER2-low metastasiertem Brustkrebs unter Trastuzumab-Deruxtecan mittels genomischer Analyse in Bezug auf interstitielle Lungenerkrankung (ILD).</w:t>
      </w:r>
    </w:p>
    <w:p>
      <w:r>
        <w:rPr>
          <w:b/>
        </w:rPr>
        <w:t xml:space="preserve">Ergebnis: </w:t>
      </w:r>
      <w:r>
        <w:t>Bei 11,4% trat ILD auf. Stärkste Assoziationen in der HLA-Region (rs9258213 near HLA-F: OR 6,8, 95%-KI 2,6–17,9, p=9,5×10⁻⁵). Zusätzliche Assoziationen in SLCO1B1 und CYP3A4-Genen. Kein definitiver pharmacogenomischer Prädiktor identifiziert, aber Mechanismus-Einblicke gewonnen.</w:t>
      </w:r>
    </w:p>
    <w:p>
      <w:r>
        <w:rPr>
          <w:b/>
          <w:sz w:val="19"/>
        </w:rPr>
        <w:t xml:space="preserve">Übertragbarkeit: </w:t>
      </w:r>
      <w:r>
        <w:rPr>
          <w:sz w:val="19"/>
        </w:rPr>
        <w:t>Spanisches Gesundheitssystem, vergleichbare Dokumentation; Befund ist sicherheitsrelevant übertragbar.</w:t>
      </w:r>
    </w:p>
    <w:p>
      <w:r>
        <w:rPr>
          <w:color w:val="5A7D3A"/>
          <w:sz w:val="18"/>
        </w:rPr>
        <w:t>https://pubmed.ncbi.nlm.nih.gov/42901050/</w:t>
      </w:r>
    </w:p>
    <w:p>
      <w:pPr>
        <w:pStyle w:val="Heading2"/>
      </w:pPr>
      <w:r>
        <w:t>Protontherapie vs. Photonentherapie bei Oropharynxkarzinom: Vorteil bei Akutnebenwirkungen, nicht bei Kontrolle</w:t>
      </w:r>
    </w:p>
    <w:p>
      <w:r>
        <w:rPr>
          <w:i/>
          <w:color w:val="666666"/>
          <w:sz w:val="18"/>
        </w:rPr>
        <w:t>You J et al.  ·  ESMO Open  ·  20.10.2026  ·  PMID 42901049</w:t>
      </w:r>
    </w:p>
    <w:p>
      <w:r>
        <w:t>Metaanalyse von zwei Phase-III-Studien und einer Matched-Cohort-Studie verglich Intensität-modulierte Protontherapie (IMPT) mit konventioneller IMRT bei Oropharynxkarzinom in Bezug auf Rezidiv-, Überlebens- und Toxizitätsraten.</w:t>
      </w:r>
    </w:p>
    <w:p>
      <w:r>
        <w:rPr>
          <w:b/>
        </w:rPr>
        <w:t xml:space="preserve">Ergebnis: </w:t>
      </w:r>
      <w:r>
        <w:t>Hazard Ratio für lokoregionales Rezidiv 1,37 (95%-KI 0,56–3,36); Progression-Free Survival HR 0,90 (0,61–1,33); Overall Survival HR 0,79 (0,32–1,98). Grad-3-Dysphagie trat bei 24% (IMPT) vs. 40,9% (IMRT) auf (RR 0,65, 95%-KI 0,51–0,84). Grad-3-Xerostomie/Trockenheit bei 19,9% vs. 32,5% (RR 0,72, 95%-KI 0,54–0,95). Ernährungsoutcomes ohne definitiven Vorteil.</w:t>
      </w:r>
    </w:p>
    <w:p>
      <w:r>
        <w:rPr>
          <w:b/>
          <w:sz w:val="19"/>
        </w:rPr>
        <w:t xml:space="preserve">Übertragbarkeit: </w:t>
      </w:r>
      <w:r>
        <w:rPr>
          <w:sz w:val="19"/>
        </w:rPr>
        <w:t>Internationale Daten, methodenvergleichend; Sicherheitsbefund ist systemunabhängig übertragbar.</w:t>
      </w:r>
    </w:p>
    <w:p>
      <w:r>
        <w:rPr>
          <w:color w:val="5A7D3A"/>
          <w:sz w:val="18"/>
        </w:rPr>
        <w:t>https://pubmed.ncbi.nlm.nih.gov/42901049/</w:t>
      </w:r>
    </w:p>
    <w:p>
      <w:pPr>
        <w:pStyle w:val="Heading2"/>
      </w:pPr>
      <w:r>
        <w:t>FLOT-Perioperative Therapie: internationales Expertenkonsens zu Patientenselektion und Toxizitätsmanagement</w:t>
      </w:r>
    </w:p>
    <w:p>
      <w:r>
        <w:rPr>
          <w:i/>
          <w:color w:val="666666"/>
          <w:sz w:val="18"/>
        </w:rPr>
        <w:t>Saeed A et al.  ·  JCO Oncol Pract  ·  20.10.2026  ·  PMID 42900867</w:t>
      </w:r>
    </w:p>
    <w:p>
      <w:r>
        <w:t>Multidisziplinäres internationales Expertenpanel erarbeitete mittels modifizierter Delphi-Methode Konsensaussagen zur Selektion, Optimierung und Behandlung von Nebenwirkungen bei perioperativer FLOT-Chemotherapie bei resektablem Magen- und Ösophaguskarzinom.</w:t>
      </w:r>
    </w:p>
    <w:p>
      <w:r>
        <w:rPr>
          <w:b/>
        </w:rPr>
        <w:t xml:space="preserve">Ergebnis: </w:t>
      </w:r>
      <w:r>
        <w:t>Konsens wurde zu 66,3% der Statements erreicht. Experten einigten sich: Patienten &gt;70 Jahre sollten nicht routinemäßig ausgeschlossen werden; ECOG-PS 0–1 ist angemessen, PS 0–2 kann einzelfallweise erwogen werden. Universelles Screening auf Mangelernährung, strukturierte physische Aktivität und Dosismodifikation statt Weglassen von Wirkstoffen wurden unterstützt. 94–100% Konsens bei klinischer Anwendung.</w:t>
      </w:r>
    </w:p>
    <w:p>
      <w:r>
        <w:rPr>
          <w:b/>
          <w:sz w:val="19"/>
        </w:rPr>
        <w:t xml:space="preserve">Übertragbarkeit: </w:t>
      </w:r>
      <w:r>
        <w:rPr>
          <w:sz w:val="19"/>
        </w:rPr>
        <w:t>Deutschsprachiger Raum mitrepräsentiert; vergleichbare Versorgungsstrukturen und Leitlinien.</w:t>
      </w:r>
    </w:p>
    <w:p>
      <w:r>
        <w:rPr>
          <w:color w:val="5A7D3A"/>
          <w:sz w:val="18"/>
        </w:rPr>
        <w:t>https://pubmed.ncbi.nlm.nih.gov/42900867/</w:t>
      </w:r>
    </w:p>
    <w:p>
      <w:pPr>
        <w:pStyle w:val="Heading2"/>
      </w:pPr>
      <w:r>
        <w:t>Versicherungsschutz reduziert Kolorektalkrebs-Mortalität um 31 Prozent – Modellstudie</w:t>
      </w:r>
    </w:p>
    <w:p>
      <w:r>
        <w:rPr>
          <w:i/>
          <w:color w:val="666666"/>
          <w:sz w:val="18"/>
        </w:rPr>
        <w:t>van den Puttelaar R et al.  ·  J Natl Cancer Inst  ·  20.10.2026  ·  PMID 42899410</w:t>
      </w:r>
    </w:p>
    <w:p>
      <w:r>
        <w:t>US-Modellierungsstudie (MISCAN-Colon) quantifizierte die Auswirkungen von Versicherungszugang auf Kolorektalkrebs-Screening, Staging und Überlebensraten in der vormals unversicherten US-Population 2025–2055.</w:t>
      </w:r>
    </w:p>
    <w:p>
      <w:r>
        <w:rPr>
          <w:b/>
        </w:rPr>
        <w:t xml:space="preserve">Ergebnis: </w:t>
      </w:r>
      <w:r>
        <w:t>Bei Gewinnung von Versicherungsschutz wären 2055 pro 100.000 Einwohner 22 von 73 Todesfällen (30,7%) vermeidbar. Inzidenz sank um 8,9% (15 Fälle). Behandlungskosten sanken um 4,8% (−1,37 Mio. USD pro 100.000), Screening-Kosten stiegen um 41,7% (+2,66 Mio.). Netto-Kostensteigerung 3,7%.</w:t>
      </w:r>
    </w:p>
    <w:p>
      <w:r>
        <w:rPr>
          <w:b/>
          <w:sz w:val="19"/>
        </w:rPr>
        <w:t xml:space="preserve">Übertragbarkeit: </w:t>
      </w:r>
      <w:r>
        <w:rPr>
          <w:sz w:val="19"/>
        </w:rPr>
        <w:t>USA mit grundlegend anderem System; Kausalaussage zu Zugang und Outcome ist universell, Kostengefüge nicht übertragbar.</w:t>
      </w:r>
    </w:p>
    <w:p>
      <w:r>
        <w:rPr>
          <w:color w:val="5A7D3A"/>
          <w:sz w:val="18"/>
        </w:rPr>
        <w:t>https://pubmed.ncbi.nlm.nih.gov/42899410/</w:t>
      </w:r>
    </w:p>
    <w:p>
      <w:pPr>
        <w:pStyle w:val="Heading2"/>
      </w:pPr>
      <w:r>
        <w:t>Finnische Real-World-Daten: NATALEE/monarchE-Patienten mit HR+/HER2− Brustkrebs haben 5-Jahres-iDFS von 76,8–82,5 Prozent</w:t>
      </w:r>
    </w:p>
    <w:p>
      <w:r>
        <w:rPr>
          <w:i/>
          <w:color w:val="666666"/>
          <w:sz w:val="18"/>
        </w:rPr>
        <w:t>Voutilainen S et al.  ·  Oncologist  ·  20.10.2026  ·  PMID 42899399</w:t>
      </w:r>
    </w:p>
    <w:p>
      <w:r>
        <w:t>Finnische bevölkerungsbasierte retrospektive Kohortenstudie von 8.911 Patienten mit HR+/HER2-negativem Frühbrust krebs 2014–2023, stratifiziert nach NATALEE (40,4%) und monarchE-Eligibilität (15,0%), mit Nachverfolgung von 5,2 Jahren.</w:t>
      </w:r>
    </w:p>
    <w:p>
      <w:r>
        <w:rPr>
          <w:b/>
        </w:rPr>
        <w:t xml:space="preserve">Ergebnis: </w:t>
      </w:r>
      <w:r>
        <w:t>NATALEE-eligible: 5-Jahres-iDFS 82,5% vs. 89,6% (nicht-eligible), DDFS 88,3% vs. 94,5%, OS 90,9% vs. 95,6%. monarchE-eligible: iDFS 76,8% vs. 88,4%, DDFS 82,3% vs. 93,8%, OS 86,8% vs. 94,9%. Metastasenprogression 3- bis 6-fach häufiger in eligible-Gruppen. Leitlinien-Eligibilitätskriterien zeigten verlässlich schlechtere Prognose.</w:t>
      </w:r>
    </w:p>
    <w:p>
      <w:r>
        <w:rPr>
          <w:b/>
          <w:sz w:val="19"/>
        </w:rPr>
        <w:t xml:space="preserve">Übertragbarkeit: </w:t>
      </w:r>
      <w:r>
        <w:rPr>
          <w:sz w:val="19"/>
        </w:rPr>
        <w:t>Finnland mit vergleichbarem Versicherungssystem; Real-World-Evidenz validiert Trialdaten.</w:t>
      </w:r>
    </w:p>
    <w:p>
      <w:r>
        <w:rPr>
          <w:color w:val="5A7D3A"/>
          <w:sz w:val="18"/>
        </w:rPr>
        <w:t>https://pubmed.ncbi.nlm.nih.gov/42899399/</w:t>
      </w:r>
    </w:p>
    <w:p>
      <w:pPr>
        <w:pStyle w:val="Heading2"/>
      </w:pPr>
      <w:r>
        <w:t>Pankreaskrebspatienten: Expertenkonsens zu Enzymersatztherapie verbessert Therapietoleranzhaltung</w:t>
      </w:r>
    </w:p>
    <w:p>
      <w:r>
        <w:rPr>
          <w:i/>
          <w:color w:val="666666"/>
          <w:sz w:val="18"/>
        </w:rPr>
        <w:t>Gallagher D et al.  ·  Oncologist  ·  20.10.2026  ·  PMID 42899395</w:t>
      </w:r>
    </w:p>
    <w:p>
      <w:r>
        <w:t>Multidisziplinäre US-Delphi-Konsensus-Studie mit 17 Experten (Onkologen, Ernährungsfachkräfte) zur Standardisierung von Dosierung, Patientenschulung und Langzeitmanagement der Pankreasenzymersatztherapie (PERT) bei exokriner Pankreasinsuffizienz (EPI) in Pankreaskrebs.</w:t>
      </w:r>
    </w:p>
    <w:p>
      <w:r>
        <w:rPr>
          <w:b/>
        </w:rPr>
        <w:t xml:space="preserve">Ergebnis: </w:t>
      </w:r>
      <w:r>
        <w:t>15 finale Konsensaussagen mit ≥81% Übereinstimmung erreicht; 6 Aussagen zu klinischer Anwendung mit 94–100% Konsens. Empfohlene Startdosen: 48.000–72.000 Lipase-Units pro Mahlzeit. Standardisierte Titraturprotokolle, mehrstufige Patientenschulung und Strategien zur Reduktion finanzieller und Pillen-Belastung definiert.</w:t>
      </w:r>
    </w:p>
    <w:p>
      <w:r>
        <w:rPr>
          <w:b/>
          <w:sz w:val="19"/>
        </w:rPr>
        <w:t xml:space="preserve">Übertragbarkeit: </w:t>
      </w:r>
      <w:r>
        <w:rPr>
          <w:sz w:val="19"/>
        </w:rPr>
        <w:t>USA; Verfahren ist unabhängig vom Gesundheitssystem, Konsenssicherung methodisch übertragbar.</w:t>
      </w:r>
    </w:p>
    <w:p>
      <w:r>
        <w:rPr>
          <w:color w:val="5A7D3A"/>
          <w:sz w:val="18"/>
        </w:rPr>
        <w:t>https://pubmed.ncbi.nlm.nih.gov/42899395/</w:t>
      </w:r>
    </w:p>
    <w:p>
      <w:pPr>
        <w:pStyle w:val="Heading2"/>
      </w:pPr>
      <w:r>
        <w:t>Multiomik-Klassifizierung vorhersagt MRD-Negativität bei Myelom-Induktion mit Isatuximab-Karpfilzomib-Lenalidomid (Isa-KRd) mit AUC 0,77</w:t>
      </w:r>
    </w:p>
    <w:p>
      <w:r>
        <w:rPr>
          <w:i/>
          <w:color w:val="666666"/>
          <w:sz w:val="18"/>
        </w:rPr>
        <w:t>Magrangeas F et al.  ·  Nat Med  ·  19.10.2026  ·  PMID 42897348</w:t>
      </w:r>
    </w:p>
    <w:p>
      <w:r>
        <w:t>Französisch-amerikanische Studie integrierte Genom-, Transkriptom- und Epigenomprofiling von 423 Neudiagnose-Myelom-Proben zur Vorhersage von Minimal Residual Disease (MRD) nach Quadruplet-Induktion mit Isa-KRd.</w:t>
      </w:r>
    </w:p>
    <w:p>
      <w:r>
        <w:rPr>
          <w:b/>
        </w:rPr>
        <w:t xml:space="preserve">Ergebnis: </w:t>
      </w:r>
      <w:r>
        <w:t>HP1/HP3 und MS Genexpressions-Subtypen zeigten höhere MRD-Negativitätsraten als MF und CD2. B-Zell-Differenzierung assoziiert mit MRD-Positivität; Proliferation und MYC-Programme mit MRD-Negativität. Multimodales Random-Forest-Modell mit genomischen, transkriptomischen und epigenomischen Merkmalen erreichte AUC 0,77, übertraf klinische und genomische Einzelmodelle. Driver-Gene CCND1 und MYC korreliert mit differenziellem MRD-Outcome.</w:t>
      </w:r>
    </w:p>
    <w:p>
      <w:r>
        <w:rPr>
          <w:b/>
          <w:sz w:val="19"/>
        </w:rPr>
        <w:t xml:space="preserve">Übertragbarkeit: </w:t>
      </w:r>
      <w:r>
        <w:rPr>
          <w:sz w:val="19"/>
        </w:rPr>
        <w:t>Europäisch-amerikanische Kooperation, französisches Registernetzwerk; Klassifizierungssystem methodisch übertragbar.</w:t>
      </w:r>
    </w:p>
    <w:p>
      <w:r>
        <w:rPr>
          <w:color w:val="5A7D3A"/>
          <w:sz w:val="18"/>
        </w:rPr>
        <w:t>https://pubmed.ncbi.nlm.nih.gov/42897348/</w:t>
      </w:r>
    </w:p>
    <w:p>
      <w:pPr>
        <w:pStyle w:val="Heading1"/>
      </w:pPr>
      <w:r>
        <w:t>Aufgenommen am 20.10.2026</w:t>
      </w:r>
    </w:p>
    <w:p>
      <w:pPr>
        <w:pStyle w:val="Heading2"/>
      </w:pPr>
      <w:r>
        <w:t>Hypofraktionierte Strahlentherapie nach Mastektomie zeigt Nichtunterlegenheit bei reduzierter akuter Toxizität</w:t>
      </w:r>
    </w:p>
    <w:p>
      <w:r>
        <w:rPr>
          <w:i/>
          <w:color w:val="666666"/>
          <w:sz w:val="18"/>
        </w:rPr>
        <w:t>Wang X et al.  ·  J Clin Oncol  ·  19.10.2026  ·  PMID 42896129</w:t>
      </w:r>
    </w:p>
    <w:p>
      <w:r>
        <w:t>Randomisierte Phase-III-Studie: Bei 1.429 Patientinnen mit Hochrisiko-Brustkrebs nach Mastektomie wurde hypofraktionierte (16×2,66 Gy) vs. konventionell fraktionierte (25×2 Gy) Radiotherapie mit regionaler Lymphknotenbestrahlung verglichen.</w:t>
      </w:r>
    </w:p>
    <w:p>
      <w:r>
        <w:rPr>
          <w:b/>
        </w:rPr>
        <w:t xml:space="preserve">Ergebnis: </w:t>
      </w:r>
      <w:r>
        <w:t>Nach Median-Nachbeobachtung von 58,1 Monaten: 5-Jahres-Lokalrezidivrate 1,7% (hypofraktioniert) vs. 2,2% (konventionell), Hazard Ratio 0,69 (95%-KI 0,32–1,51), Nichtunterlegenheit erfüllt (p=0,017). Akute Grad-3-Hautnebenwirkungen deutlich niedriger mit Hypofraktionierung (1,7% vs. 12,2%, p&lt;0,001). Kardiopulmonale Verträglichkeit exzellent in beiden Armen.</w:t>
      </w:r>
    </w:p>
    <w:p>
      <w:r>
        <w:rPr>
          <w:b/>
          <w:sz w:val="19"/>
        </w:rPr>
        <w:t xml:space="preserve">Übertragbarkeit: </w:t>
      </w:r>
      <w:r>
        <w:rPr>
          <w:sz w:val="19"/>
        </w:rPr>
        <w:t>Phase-III-Daten aus China, vergleichbare Hochrisikodef, Effekt auf Standardpraxis</w:t>
      </w:r>
    </w:p>
    <w:p>
      <w:r>
        <w:rPr>
          <w:color w:val="5A7D3A"/>
          <w:sz w:val="18"/>
        </w:rPr>
        <w:t>https://pubmed.ncbi.nlm.nih.gov/42896129/</w:t>
      </w:r>
    </w:p>
    <w:p>
      <w:pPr>
        <w:pStyle w:val="Heading2"/>
      </w:pPr>
      <w:r>
        <w:t>Lynch-Syndrom: MSH2-Träger profitieren von Koloskopie-Screening, MLH1-Träger zeigen alternative Karzinogenese</w:t>
      </w:r>
    </w:p>
    <w:p>
      <w:r>
        <w:rPr>
          <w:i/>
          <w:color w:val="666666"/>
          <w:sz w:val="18"/>
        </w:rPr>
        <w:t>Briollais L et al.  ·  J Natl Cancer Inst  ·  19.10.2026  ·  PMID 42895288</w:t>
      </w:r>
    </w:p>
    <w:p>
      <w:r>
        <w:t>Prospektive Kohortenstudie an kanadischen Lynch-Syndrom-Patienten mit Familienregister: Joint-Model für Koloskopie-Häufigkeit, Adenomzahl und Kolonkrebsrisiko bei MLH1- vs. MSH2-Mutation-Trägern entwickelt und validiert.</w:t>
      </w:r>
    </w:p>
    <w:p>
      <w:r>
        <w:rPr>
          <w:b/>
        </w:rPr>
        <w:t xml:space="preserve">Ergebnis: </w:t>
      </w:r>
      <w:r>
        <w:t>Nach 10 Jahren Follow-up bei Patienten mit Adenomen: Kolonkrebsrisiko in MLH1-Trägern 7,9% (95%-KI 3,9–15,8%, Männer) vs. 4,0% (95%-KI 1,6–9,6%, MSH2). Bei Frauen 4,2% (MLH1) vs. 1,6% (MSH2). Frequentere Koloskopien reduzierten Risiko nur bei MSH2-Mutation, nicht bei MLH1. Befund deutet auf unterschiedliche Karzinogenese-Pfade.</w:t>
      </w:r>
    </w:p>
    <w:p>
      <w:r>
        <w:rPr>
          <w:b/>
          <w:sz w:val="19"/>
        </w:rPr>
        <w:t xml:space="preserve">Übertragbarkeit: </w:t>
      </w:r>
      <w:r>
        <w:rPr>
          <w:sz w:val="19"/>
        </w:rPr>
        <w:t>Kanada, Familienregister, Implikation für Nachsorgestratifizierung</w:t>
      </w:r>
    </w:p>
    <w:p>
      <w:r>
        <w:rPr>
          <w:color w:val="5A7D3A"/>
          <w:sz w:val="18"/>
        </w:rPr>
        <w:t>https://pubmed.ncbi.nlm.nih.gov/42895288/</w:t>
      </w:r>
    </w:p>
    <w:p>
      <w:pPr>
        <w:pStyle w:val="Heading2"/>
      </w:pPr>
      <w:r>
        <w:t>Adjuvante Radiotherapie beim Plattenepithelkarzinom der Haut: Delphi-Konsens zu Indikationen, Dosis und Timing</w:t>
      </w:r>
    </w:p>
    <w:p>
      <w:r>
        <w:rPr>
          <w:i/>
          <w:color w:val="666666"/>
          <w:sz w:val="18"/>
        </w:rPr>
        <w:t>Stevens JS et al.  ·  Int J Radiat Oncol Biol Phys  ·  16.10.2026  ·  PMID 42887677</w:t>
      </w:r>
    </w:p>
    <w:p>
      <w:r>
        <w:t>Delphi-Panel mit 35 Experten aus Strahlentherapie, Dermatologie, Chirurgie entwickelte Konsensusempfehlungen für adjuvante Radiotherapie bei nodal-negativem High-Stage-Kutanmelanom nach Operation.</w:t>
      </w:r>
    </w:p>
    <w:p>
      <w:r>
        <w:rPr>
          <w:b/>
        </w:rPr>
        <w:t xml:space="preserve">Ergebnis: </w:t>
      </w:r>
      <w:r>
        <w:t>Konsens (≥80% Konkordanz): ART empfohlen bei positiven Rändern (100%), 5-Jahres-Lokalrezidiv-Inzidenz ≥20% (83%), kortikale Knochenerosion (91%), Schädelbasis-Invasion (91%), ≥4 Risikofaktoren (100%), ≥3 RF (86–94%), PNI ≥0,1mm + ein RF (86%). Immunsupprimierte Patienten: 86% würden ART eher empfehlen. Optimales Zeitfenster 4–8 Wochen (100% RO). Dosen 60–66 Gy/2 Gy pro Fraktion (100%) oder 50–55 Gy/2,5 Gy (87%) bevorzugt.</w:t>
      </w:r>
    </w:p>
    <w:p>
      <w:r>
        <w:rPr>
          <w:b/>
          <w:sz w:val="19"/>
        </w:rPr>
        <w:t xml:space="preserve">Übertragbarkeit: </w:t>
      </w:r>
      <w:r>
        <w:rPr>
          <w:sz w:val="19"/>
        </w:rPr>
        <w:t>USA-basiert, aber standardisiert Behandlungsrahmen, vergleichbar mit deutschen Zentren</w:t>
      </w:r>
    </w:p>
    <w:p>
      <w:r>
        <w:rPr>
          <w:color w:val="5A7D3A"/>
          <w:sz w:val="18"/>
        </w:rPr>
        <w:t>https://pubmed.ncbi.nlm.nih.gov/42887677/</w:t>
      </w:r>
    </w:p>
    <w:p>
      <w:pPr>
        <w:pStyle w:val="Heading2"/>
      </w:pPr>
      <w:r>
        <w:t>Kosteneffektivitäts-Analysen von Krebsarzneien: Nur 2,7% sind reproduzierbar, 16,7% vollständig dokumentiert</w:t>
      </w:r>
    </w:p>
    <w:p>
      <w:r>
        <w:rPr>
          <w:i/>
          <w:color w:val="666666"/>
          <w:sz w:val="18"/>
        </w:rPr>
        <w:t>Johansson N et al.  ·  JCO Oncol Pract  ·  16.10.2026  ·  PMID 42886869</w:t>
      </w:r>
    </w:p>
    <w:p>
      <w:r>
        <w:t>Systematische Bewertung von 150 zufällig ausgewählten, modellgestützten Kosteneffektivitäts-Analysen (CEA) von Krebsmedikamenten aus der Literatur zu Reproduzierbarkeit: Zugang zu Modellcode (Computational Reproducibility) und Transparenz der Berichterstattung über Modellstruktur, Übergänge, Kosten, Gesundheitsergebnisse (Recreate Reproducibility).</w:t>
      </w:r>
    </w:p>
    <w:p>
      <w:r>
        <w:rPr>
          <w:b/>
        </w:rPr>
        <w:t xml:space="preserve">Ergebnis: </w:t>
      </w:r>
      <w:r>
        <w:t>2,7% (95%-KI 1,0–6,7) waren Computational Reproducible (Modellcode zugänglich); 16,7% (95%-KI 11,6–23,4) waren Recreate Reproducible. 85% berichteten Modellstruktur vollständig, aber nur 39% alle Kosteneingaben. Keine Assoziation zwischen Reproduzierbarkeit und Förderquelle, Land oder Journal Impact Factor. Schlussfolgerung: Standardisierte Berichterstattung und Open-Modeling-Praktiken notwendig.</w:t>
      </w:r>
    </w:p>
    <w:p>
      <w:r>
        <w:rPr>
          <w:b/>
          <w:sz w:val="19"/>
        </w:rPr>
        <w:t xml:space="preserve">Übertragbarkeit: </w:t>
      </w:r>
      <w:r>
        <w:rPr>
          <w:sz w:val="19"/>
        </w:rPr>
        <w:t>Schweden, europäische Qualitätsfrage, AMNOG-Transparenzanforderungen relevant</w:t>
      </w:r>
    </w:p>
    <w:p>
      <w:r>
        <w:rPr>
          <w:color w:val="5A7D3A"/>
          <w:sz w:val="18"/>
        </w:rPr>
        <w:t>https://pubmed.ncbi.nlm.nih.gov/42886869/</w:t>
      </w:r>
    </w:p>
    <w:p>
      <w:pPr>
        <w:pStyle w:val="Heading2"/>
      </w:pPr>
      <w:r>
        <w:t>Oligometastase-Therapiestudien: Progression-Free Survival nur moderat korreliert mit Gesamtüberleben</w:t>
      </w:r>
    </w:p>
    <w:p>
      <w:r>
        <w:rPr>
          <w:i/>
          <w:color w:val="666666"/>
          <w:sz w:val="18"/>
        </w:rPr>
        <w:t>Chen D et al.  ·  Oncologist  ·  16.10.2026  ·  PMID 42885579</w:t>
      </w:r>
    </w:p>
    <w:p>
      <w:r>
        <w:t>Systematische Übersichtsarbeit über 235 prospektive Studien (29 randomisiert) zur metastasierungsgerichteten Therapie; Metaanalyse der Surrogacy zwischen Progression-Free Survival (PFS) und Overall Survival (OS) in randomisierten Trials.</w:t>
      </w:r>
    </w:p>
    <w:p>
      <w:r>
        <w:rPr>
          <w:b/>
        </w:rPr>
        <w:t xml:space="preserve">Ergebnis: </w:t>
      </w:r>
      <w:r>
        <w:t>Bei 18 randomisierten Trials mit beiden Endpunkten: Korrelation zwischen PFS-HR und OS-HR moderat (r=0,80, 95%-KI 0,64–0,91). Surrogat-Schwellwert-HR 0,79 (95%-KI 0,71–0,87). Die meisten Phase-II-Trials nutzten PFS als Primärendpunkt (67%, n=20), nur 13% (n=4) OS. Empfehlung: Phase-II-Trials sollten PFS mit Lebensqualität oder therapiefreie Überlebenszeit kombinieren; Phase-III-Trials OS oder validierte Surrogate nutzen.</w:t>
      </w:r>
    </w:p>
    <w:p>
      <w:r>
        <w:rPr>
          <w:b/>
          <w:sz w:val="19"/>
        </w:rPr>
        <w:t xml:space="preserve">Übertragbarkeit: </w:t>
      </w:r>
      <w:r>
        <w:rPr>
          <w:sz w:val="19"/>
        </w:rPr>
        <w:t>Kanada, internationale Trials, Leitlinienrelevanz für Endpunkt-Wahl</w:t>
      </w:r>
    </w:p>
    <w:p>
      <w:r>
        <w:rPr>
          <w:color w:val="5A7D3A"/>
          <w:sz w:val="18"/>
        </w:rPr>
        <w:t>https://pubmed.ncbi.nlm.nih.gov/42885579/</w:t>
      </w:r>
    </w:p>
    <w:p>
      <w:pPr>
        <w:pStyle w:val="Heading2"/>
      </w:pPr>
      <w:r>
        <w:t>Neoadjuvante SABR vor Nephrektomie bei Nierenzellkarzinom mit IVC-Thrombus: 1-Jahres-Rezidivfreiheit 71,4%</w:t>
      </w:r>
    </w:p>
    <w:p>
      <w:r>
        <w:rPr>
          <w:i/>
          <w:color w:val="666666"/>
          <w:sz w:val="18"/>
        </w:rPr>
        <w:t>Hannan R et al.  ·  JAMA Oncol  ·  15.10.2026  ·  PMID 42879162</w:t>
      </w:r>
    </w:p>
    <w:p>
      <w:r>
        <w:t>Prospektive Phase-II-Studie: 23 Patienten mit Nierenzellkarzinom und inferiorem Hohlvenenthrombus (Mayo II–IV) erhielten neoadjuvante SABR (40 Gy/5 fx oder 36 Gy/3 fx) vor radikaler Nephrektomie und Thrombektomie; primärer Endpunkt 1-Jahres-Rezidivfreiüberleben vs. historisches Surgery-Benchmark 55,7%.</w:t>
      </w:r>
    </w:p>
    <w:p>
      <w:r>
        <w:rPr>
          <w:b/>
        </w:rPr>
        <w:t xml:space="preserve">Ergebnis: </w:t>
      </w:r>
      <w:r>
        <w:t>21 Patienten in Analyse eingeschlossen (57% männlich, Median-Alter 62,5 Jahre). 1-Jahres-Rezidivfreiüberleben 71,4% (80%-KI 56,6–82,0; 95%-KI 47,2–86,0), Nichtunterlegenheit-Kriterium erfüllt (p=0,09 vs. 55,7%). 1-Jahres-Gesamtüberleben 95,2%, keine Perioperalitäts-Mortalität. Ki-67-Expression reduziert nach SABR. Tumor-informierte ctDNA bei allen Patienten detektiert und nach Therapie gesunken.</w:t>
      </w:r>
    </w:p>
    <w:p>
      <w:r>
        <w:rPr>
          <w:b/>
          <w:sz w:val="19"/>
        </w:rPr>
        <w:t xml:space="preserve">Übertragbarkeit: </w:t>
      </w:r>
      <w:r>
        <w:rPr>
          <w:sz w:val="19"/>
        </w:rPr>
        <w:t>USA, aber sichere Machbarkeit, ctDNA-Monitoring innovativ</w:t>
      </w:r>
    </w:p>
    <w:p>
      <w:r>
        <w:rPr>
          <w:color w:val="5A7D3A"/>
          <w:sz w:val="18"/>
        </w:rPr>
        <w:t>https://pubmed.ncbi.nlm.nih.gov/42879162/</w:t>
      </w:r>
    </w:p>
    <w:p>
      <w:pPr>
        <w:pStyle w:val="Heading1"/>
      </w:pPr>
      <w:r>
        <w:t>Aufgenommen am 19.10.2026</w:t>
      </w:r>
    </w:p>
    <w:p>
      <w:pPr>
        <w:pStyle w:val="Heading2"/>
      </w:pPr>
      <w:r>
        <w:t>59,6 % der gebrechlichen Brustkrebsüberlebenden erhalten keine ambulante Pflege</w:t>
      </w:r>
    </w:p>
    <w:p>
      <w:r>
        <w:rPr>
          <w:i/>
          <w:color w:val="666666"/>
          <w:sz w:val="18"/>
        </w:rPr>
        <w:t>Qin X et al.  ·  J Natl Cancer Inst  ·  19.10.2026  ·  PMID 42893805</w:t>
      </w:r>
    </w:p>
    <w:p>
      <w:r>
        <w:t>Analyse von Medicare-Daten 2017-2020 zu Gebrechlichkeit und ambulanter Pflegeversorgung bei älteren Brustkrebsüberlebenden (134.410 Frauen, 347.953 Patientenjahre) mittels Claims-basiertem Deficit-Accumulation Frailty Index.</w:t>
      </w:r>
    </w:p>
    <w:p>
      <w:r>
        <w:rPr>
          <w:b/>
        </w:rPr>
        <w:t xml:space="preserve">Ergebnis: </w:t>
      </w:r>
      <w:r>
        <w:t>Bei hohem Pflegebedarf (DAFI≥0,25) hatten 59,6 % keine Medicare-Heimbetreuung; HH-Nutzung stieg mit Gebrechlichkeit (+1,10 Prozentpunkte pro +0,01 DAFI), am steilsten bei Nichtdual-Versicherten (+1,21 pp). Medicare-Leistungen erfassen frailty-assoziierte Pflegebedarfe nicht ausreichend.</w:t>
      </w:r>
    </w:p>
    <w:p>
      <w:r>
        <w:rPr>
          <w:b/>
          <w:sz w:val="19"/>
        </w:rPr>
        <w:t xml:space="preserve">Übertragbarkeit: </w:t>
      </w:r>
      <w:r>
        <w:rPr>
          <w:sz w:val="19"/>
        </w:rPr>
        <w:t>USA-Daten, Finanzierungssystem grundlegend anders; Befund zur Unterversorgung übertragbar.</w:t>
      </w:r>
    </w:p>
    <w:p>
      <w:r>
        <w:rPr>
          <w:color w:val="5A7D3A"/>
          <w:sz w:val="18"/>
        </w:rPr>
        <w:t>https://pubmed.ncbi.nlm.nih.gov/42893805/</w:t>
      </w:r>
    </w:p>
    <w:p>
      <w:pPr>
        <w:pStyle w:val="Heading2"/>
      </w:pPr>
      <w:r>
        <w:t>Tamoxifen plus kalorische Restriktion: SHBG-Spiegel und Brustkrebsrisiko-Biomarker verbessert</w:t>
      </w:r>
    </w:p>
    <w:p>
      <w:r>
        <w:rPr>
          <w:i/>
          <w:color w:val="666666"/>
          <w:sz w:val="18"/>
        </w:rPr>
        <w:t>Serrano D et al.  ·  Eur J Cancer  ·  14.10.2026  ·  PMID 42892237</w:t>
      </w:r>
    </w:p>
    <w:p>
      <w:r>
        <w:t>Randomisierte Phase-II-Studie zu Kombinationen aus Tamoxifen, lebensstiländerung und intermittierender kalorischer Restriktion bei hochgradig gefährdeten Frauen, mit SHBG-Spiegeln als primärem Endpunkt.</w:t>
      </w:r>
    </w:p>
    <w:p>
      <w:r>
        <w:rPr>
          <w:b/>
        </w:rPr>
        <w:t xml:space="preserve">Ergebnis: </w:t>
      </w:r>
      <w:r>
        <w:t>Tamoxifen ± kalorische Restriktion erhöhte signifikant SHBG und IGFBP-3 und senkte IGF-I (alle p&lt;0,01); bei hoher Adhärenz (&gt;90%) zeigte Lebensstiländerung plus kalorische Restriktion höhere SHBG als Lebensstiländerung allein (p=0,045). Kein Unterschied bei unerwünschten Ereignissen; milde Verschlechterung der Lebensqualität unter Tamoxifen.</w:t>
      </w:r>
    </w:p>
    <w:p>
      <w:r>
        <w:rPr>
          <w:b/>
          <w:sz w:val="19"/>
        </w:rPr>
        <w:t xml:space="preserve">Übertragbarkeit: </w:t>
      </w:r>
      <w:r>
        <w:rPr>
          <w:sz w:val="19"/>
        </w:rPr>
        <w:t>Italienische Zentren, deutschsprachiger Raum vergleichbar, Prävention bei genetischem Risiko.</w:t>
      </w:r>
    </w:p>
    <w:p>
      <w:r>
        <w:rPr>
          <w:color w:val="5A7D3A"/>
          <w:sz w:val="18"/>
        </w:rPr>
        <w:t>https://pubmed.ncbi.nlm.nih.gov/42892237/</w:t>
      </w:r>
    </w:p>
    <w:p>
      <w:pPr>
        <w:pStyle w:val="Heading2"/>
      </w:pPr>
      <w:r>
        <w:t>Darolutamide-Triplet-Therapie: 6,3 Monate längere symptomfreie Zeit bei metastasiertem Prostatakarzinom</w:t>
      </w:r>
    </w:p>
    <w:p>
      <w:r>
        <w:rPr>
          <w:i/>
          <w:color w:val="666666"/>
          <w:sz w:val="18"/>
        </w:rPr>
        <w:t>Maiorano BA et al.  ·  Eur J Cancer  ·  02.10.2026  ·  PMID 42892235</w:t>
      </w:r>
    </w:p>
    <w:p>
      <w:r>
        <w:t>Q-TWiST-Analyse der ARASENS-Studie zur Bewertung der Lebensqualität unter Darolutamid plus ADT plus Docetaxel versus Placebo plus ADT plus Docetaxel bei metastasiertem hormonempfindlichem Prostatakarzinom.</w:t>
      </w:r>
    </w:p>
    <w:p>
      <w:r>
        <w:rPr>
          <w:b/>
        </w:rPr>
        <w:t xml:space="preserve">Ergebnis: </w:t>
      </w:r>
      <w:r>
        <w:t>Patienten mit Darolutamid gewannen 6,3 Monate Q-TWiST gegenüber Placebo (p&lt;0,001), mit erhöhter symptomfreier Zeit (17,6 vs. 10,9 Monate) und reduzierter Progressionszeit (2,4 vs. 8,7 Monate); relative Q-TWiST-Gewinn 16,0%. Die Kombination zeigte längeres Überleben ohne Symptome oder Toxizität.</w:t>
      </w:r>
    </w:p>
    <w:p>
      <w:r>
        <w:rPr>
          <w:b/>
          <w:sz w:val="19"/>
        </w:rPr>
        <w:t xml:space="preserve">Übertragbarkeit: </w:t>
      </w:r>
      <w:r>
        <w:rPr>
          <w:sz w:val="19"/>
        </w:rPr>
        <w:t>Europäische und kanadische Zentren, vergleichbare Versicherungssysteme, praxisrelevanter Endpunkt.</w:t>
      </w:r>
    </w:p>
    <w:p>
      <w:r>
        <w:rPr>
          <w:color w:val="5A7D3A"/>
          <w:sz w:val="18"/>
        </w:rPr>
        <w:t>https://pubmed.ncbi.nlm.nih.gov/42892235/</w:t>
      </w:r>
    </w:p>
    <w:p>
      <w:pPr>
        <w:pStyle w:val="Heading2"/>
      </w:pPr>
      <w:r>
        <w:t>RAS-Mutationen bei AML: kontextabhängiger Prognosewert und Angriffspunkte für Therapie</w:t>
      </w:r>
    </w:p>
    <w:p>
      <w:r>
        <w:rPr>
          <w:i/>
          <w:color w:val="666666"/>
          <w:sz w:val="18"/>
        </w:rPr>
        <w:t>Rodríguez-Arbolí E et al.  ·  Blood  ·  16.10.2026  ·  PMID 42886676</w:t>
      </w:r>
    </w:p>
    <w:p>
      <w:r>
        <w:t>Zentralisierte molekulare Profilierung von 8.553 neu diagnostizierten AML-Patienten zur Charakterisierung von RAS-Mutationen, deren genomischer Kontext und klinischer Prognosewert.</w:t>
      </w:r>
    </w:p>
    <w:p>
      <w:r>
        <w:rPr>
          <w:b/>
        </w:rPr>
        <w:t xml:space="preserve">Ergebnis: </w:t>
      </w:r>
      <w:r>
        <w:t>RAS-Mutationen in 21 % (1.775/8.553), davon NRAS 13 %, KRAS 5 %; NRAS-Mutationen zeigten gegensätzliche OS-Assoziationen (ungünstig bei AML-MDS, HR=1,32, p=0,036; günstig bei NPM1, HR=0,61, p=0,036), KRAS prognostisch ungünstig (HR=1,41, p=0,003); bei Venetoclax-Therapie erheblich schlechtere OS bei NPM1 (HR=2,98) oder IDH1/2-Mutationen (HR=4,06).</w:t>
      </w:r>
    </w:p>
    <w:p>
      <w:r>
        <w:rPr>
          <w:b/>
          <w:sz w:val="19"/>
        </w:rPr>
        <w:t xml:space="preserve">Übertragbarkeit: </w:t>
      </w:r>
      <w:r>
        <w:rPr>
          <w:sz w:val="19"/>
        </w:rPr>
        <w:t>Spanische Multizenterstudie, europäische Patienten, vergleichbar mit deutschem Versorgungsstandard.</w:t>
      </w:r>
    </w:p>
    <w:p>
      <w:r>
        <w:rPr>
          <w:color w:val="5A7D3A"/>
          <w:sz w:val="18"/>
        </w:rPr>
        <w:t>https://pubmed.ncbi.nlm.nih.gov/42886676/</w:t>
      </w:r>
    </w:p>
    <w:p>
      <w:pPr>
        <w:pStyle w:val="Heading2"/>
      </w:pPr>
      <w:r>
        <w:t>Serplulimab+Chemotherapie+Radiotherapie bei metastasiertem Pankreas-Ca: 78,3 % 6-Monats-PFS</w:t>
      </w:r>
    </w:p>
    <w:p>
      <w:r>
        <w:rPr>
          <w:i/>
          <w:color w:val="666666"/>
          <w:sz w:val="18"/>
        </w:rPr>
        <w:t>Cheng K et al.  ·  Clin Cancer Res  ·  16.10.2026  ·  PMID 42886001</w:t>
      </w:r>
    </w:p>
    <w:p>
      <w:r>
        <w:t>Multizentrische Phase-II-Studie (ICSBR-Regime) mit Serplulimab, Gemcitabin plus Nab-Paclitaxel und stereotaktischer Körperstrahlentherapie bei 46 Patienten mit metastasiertem Pankreas-Adenokarzinom in Erstliniensetting.</w:t>
      </w:r>
    </w:p>
    <w:p>
      <w:r>
        <w:rPr>
          <w:b/>
        </w:rPr>
        <w:t xml:space="preserve">Ergebnis: </w:t>
      </w:r>
      <w:r>
        <w:t>6-Monats-PFS 78,3 % (95%-CI 67,2-91,1 %), medianes PFS 8,5 Monate (95%-CI 7,3-12,0), medianes OS 14,0 Monate (12,0–nicht erreicht), objektive Ansprechrate 73,9 % (95%-CI 58,9-85,7 %); kein Todesfälle durch Behandlung. ctDNA-Negativität bei Baseline mit besserem Überleben assoziiert; TME-Analyse zeigte Korrelation von cancer-associated-fibroblast-Status und T-Zell-Anteil mit klinischem Outcome.</w:t>
      </w:r>
    </w:p>
    <w:p>
      <w:r>
        <w:rPr>
          <w:b/>
          <w:sz w:val="19"/>
        </w:rPr>
        <w:t xml:space="preserve">Übertragbarkeit: </w:t>
      </w:r>
      <w:r>
        <w:rPr>
          <w:sz w:val="19"/>
        </w:rPr>
        <w:t>China, Gesundheitssystem nicht vergleichbar; Sicherheits- und Response-Daten relevant.</w:t>
      </w:r>
    </w:p>
    <w:p>
      <w:r>
        <w:rPr>
          <w:color w:val="5A7D3A"/>
          <w:sz w:val="18"/>
        </w:rPr>
        <w:t>https://pubmed.ncbi.nlm.nih.gov/42886001/</w:t>
      </w:r>
    </w:p>
    <w:p>
      <w:pPr>
        <w:pStyle w:val="Heading2"/>
      </w:pPr>
      <w:r>
        <w:t>Cabergolin senkt postpartales Brustkrebsrisiko um 69 %: Mechanismus und Kohortenbeleg</w:t>
      </w:r>
    </w:p>
    <w:p>
      <w:r>
        <w:rPr>
          <w:i/>
          <w:color w:val="666666"/>
          <w:sz w:val="18"/>
        </w:rPr>
        <w:t>García-Sancha N et al.  ·  Cancer Discov  ·  15.10.2026  ·  PMID 42878664</w:t>
      </w:r>
    </w:p>
    <w:p>
      <w:r>
        <w:t>Mechanistisches Tiermodell und retrospektive Kohortenstudien zur Wirkung von Cabergolin (Dopaminagonist, senkt Prolaktin) auf postpartale Brustkrebs-Inzidenz bei BRCA1-Trägerinnen durch Mammary-Gland-Involution.</w:t>
      </w:r>
    </w:p>
    <w:p>
      <w:r>
        <w:rPr>
          <w:b/>
        </w:rPr>
        <w:t xml:space="preserve">Ergebnis: </w:t>
      </w:r>
      <w:r>
        <w:t>Bei BRCA1/p53-mutierten Mäusen verzögerte und reduzierte Cabergolin Mammakrebs-Inzidenz durch Verstärkung der Involution, Reduktion von Proliferation und Ki-67-Expression, Umkehr von T-Zell-Erschöpfung; retrospektive europäische Kohorten (2 Studien, Meta-Analyse) zeigten etwa 69 % Risikoreduktion für postpartalen Brustkrebs unter Cabergolin.</w:t>
      </w:r>
    </w:p>
    <w:p>
      <w:r>
        <w:rPr>
          <w:b/>
          <w:sz w:val="19"/>
        </w:rPr>
        <w:t xml:space="preserve">Übertragbarkeit: </w:t>
      </w:r>
      <w:r>
        <w:rPr>
          <w:sz w:val="19"/>
        </w:rPr>
        <w:t>Spanische und internationale Kohorten, Grundlagen+Humanstudien kombiniert, Präventionsstrategie für Hochrisiko.</w:t>
      </w:r>
    </w:p>
    <w:p>
      <w:r>
        <w:rPr>
          <w:color w:val="5A7D3A"/>
          <w:sz w:val="18"/>
        </w:rPr>
        <w:t>https://pubmed.ncbi.nlm.nih.gov/42878664/</w:t>
      </w:r>
    </w:p>
    <w:p>
      <w:pPr>
        <w:pStyle w:val="Heading2"/>
      </w:pPr>
      <w:r>
        <w:t>Perioperative Chemotherapie bei GEP-NEC: Erhöhter Langzeit-Heilungsanteil, nicht nur Verzögerung</w:t>
      </w:r>
    </w:p>
    <w:p>
      <w:r>
        <w:rPr>
          <w:i/>
          <w:color w:val="666666"/>
          <w:sz w:val="18"/>
        </w:rPr>
        <w:t>Carmona-Bayonas A et al.  ·  Eur J Cancer  ·  08.10.2026  ·  PMID 42869860</w:t>
      </w:r>
    </w:p>
    <w:p>
      <w:r>
        <w:t>Analyse von 162 Patienten mit resezierten GEP-NEC Grad 3 (GETNE-Register) zur Frage, ob perioperative Chemotherapie Langzeirheilung ermöglicht oder nur Rezidive verzögert, mittels Cox-Modellen und Bayesscher Promotion-Time-Cure-Modelle.</w:t>
      </w:r>
    </w:p>
    <w:p>
      <w:r>
        <w:rPr>
          <w:b/>
        </w:rPr>
        <w:t xml:space="preserve">Ergebnis: </w:t>
      </w:r>
      <w:r>
        <w:t>Chemotherapie (n=74, 46 %) verkürzte ereignisfreie Überlebenszeit (HR 0,61, 95%-CI 0,40-0,96) und rezidivfreie Überlebenszeit (HR 0,59, 95%-CI 0,37-0,93), nicht eindeutig OS (HR 0,73, 95%-CI 0,46-1,15); Cure-Modell deutete auf niedrigere klonogene Last (Ratio 0,67, Posterior-Wahrscheinlichkeit 94%) statt langsamerer Kinematik hin. Populationsgeheilungsanteil 22,7 % (95%-CrI 15,9-29,6).</w:t>
      </w:r>
    </w:p>
    <w:p>
      <w:r>
        <w:rPr>
          <w:b/>
          <w:sz w:val="19"/>
        </w:rPr>
        <w:t xml:space="preserve">Übertragbarkeit: </w:t>
      </w:r>
      <w:r>
        <w:rPr>
          <w:sz w:val="19"/>
        </w:rPr>
        <w:t>Spanische Multizenterstudie, europäisches Versicherungssystem, Hochrisiko-Entität.</w:t>
      </w:r>
    </w:p>
    <w:p>
      <w:r>
        <w:rPr>
          <w:color w:val="5A7D3A"/>
          <w:sz w:val="18"/>
        </w:rPr>
        <w:t>https://pubmed.ncbi.nlm.nih.gov/42869860/</w:t>
      </w:r>
    </w:p>
    <w:p>
      <w:pPr>
        <w:pStyle w:val="Heading1"/>
      </w:pPr>
      <w:r>
        <w:t>Aufgenommen am 18.10.2026</w:t>
      </w:r>
    </w:p>
    <w:p>
      <w:pPr>
        <w:pStyle w:val="Heading2"/>
      </w:pPr>
      <w:r>
        <w:t>Talazoparib + Enzalutamid bei metastasiertem Prostatakarzinom: PARP-Inhibitor bessert PSA-Response nicht</w:t>
      </w:r>
    </w:p>
    <w:p>
      <w:r>
        <w:rPr>
          <w:i/>
          <w:color w:val="666666"/>
          <w:sz w:val="18"/>
        </w:rPr>
        <w:t>Zacchi F et al.  ·  Nat Med  ·  14.10.2026  ·  PMID 42875559</w:t>
      </w:r>
    </w:p>
    <w:p>
      <w:r>
        <w:t>Randomisierte Phase-II-Studie mit 54 Patienten, die den Nutzen von PARP-Inhibitor Talazoparib zusätzlich zu Enzalutamid bei hochvolumigen metastasierten hormonsensitiven Prostatakarzinomen untersuchte.</w:t>
      </w:r>
    </w:p>
    <w:p>
      <w:r>
        <w:rPr>
          <w:b/>
        </w:rPr>
        <w:t xml:space="preserve">Ergebnis: </w:t>
      </w:r>
      <w:r>
        <w:t>PSA-Ansprechrate (&lt;0,2 ng/ml) nach 12 Monaten: 73% unter Kombinationstherapie vs. 64,7% unter Enzalutamid allein (p=0,54 für explorativen Vergleich). Grade ≥3 Nebenwirkungen: 68% vs. 35%, davon Anämie 41%. Zwei Todesfälle durch therapieassoziierte myeloide Neoplasien in der Kombinationsgruppe. Die Studie zeigt klinische Aktivität, aber keinen klaren zusätzlichen Nutzen gegenüber Monotherapie bei erhöhter Toxizität.</w:t>
      </w:r>
    </w:p>
    <w:p>
      <w:r>
        <w:rPr>
          <w:b/>
          <w:sz w:val="19"/>
        </w:rPr>
        <w:t xml:space="preserve">Übertragbarkeit: </w:t>
      </w:r>
      <w:r>
        <w:rPr>
          <w:sz w:val="19"/>
        </w:rPr>
        <w:t>Spanische akademische Zentren, europäisches Gesundheitssystem, begrenzte Übertragbarkeit wegen geringer Fallzahl</w:t>
      </w:r>
    </w:p>
    <w:p>
      <w:r>
        <w:rPr>
          <w:color w:val="5A7D3A"/>
          <w:sz w:val="18"/>
        </w:rPr>
        <w:t>https://pubmed.ncbi.nlm.nih.gov/42875559/</w:t>
      </w:r>
    </w:p>
    <w:p>
      <w:pPr>
        <w:pStyle w:val="Heading2"/>
      </w:pPr>
      <w:r>
        <w:t>Personalisierte Neoantigen-Vakzine bei Ovarialkarzinom: Phase-I-Verträglichkeit erreicht</w:t>
      </w:r>
    </w:p>
    <w:p>
      <w:r>
        <w:rPr>
          <w:i/>
          <w:color w:val="666666"/>
          <w:sz w:val="18"/>
        </w:rPr>
        <w:t>Sellars MC et al.  ·  Nat Med  ·  14.10.2026  ·  PMID 42875558</w:t>
      </w:r>
    </w:p>
    <w:p>
      <w:r>
        <w:t>Phase-I-Studie mit 10 Patienten (1 Neudiagnose, 9 bei Rezidiv), die eine individualisierte Neoantigen-Peptidvakzine kombiniert mit verzögerter Anti-PD-1-Therapie untersuchte.</w:t>
      </w:r>
    </w:p>
    <w:p>
      <w:r>
        <w:rPr>
          <w:b/>
        </w:rPr>
        <w:t xml:space="preserve">Ergebnis: </w:t>
      </w:r>
      <w:r>
        <w:t>Vakzinierungsrate Cohort B (Rezidive): 75% (90%-KI 47–93%); keine Sicherheitssignale oder Therapieabbrüche wegen Toxizität. &gt;70% der ausgewählten Antigenziele blieben trotz 6,5 Monaten Standard-Chemotherapie durch zellfreie DNA nachweisbar. Biomarkeranalyse deutete auf biologische Aktivität bei 6 von 10 Patienten hin, assoziiert mit breiterer tumor- und impfspezifischer Immunität. Mechanismen der Tumorresistenz zeigten diverse Effekte auf Antigenrepräsentation.</w:t>
      </w:r>
    </w:p>
    <w:p>
      <w:r>
        <w:rPr>
          <w:b/>
          <w:sz w:val="19"/>
        </w:rPr>
        <w:t xml:space="preserve">Übertragbarkeit: </w:t>
      </w:r>
      <w:r>
        <w:rPr>
          <w:sz w:val="19"/>
        </w:rPr>
        <w:t>USA, Dana-Farber, nur Sicherheit übertragbar – Early-Phase-Machbarkeitsstudie</w:t>
      </w:r>
    </w:p>
    <w:p>
      <w:r>
        <w:rPr>
          <w:color w:val="5A7D3A"/>
          <w:sz w:val="18"/>
        </w:rPr>
        <w:t>https://pubmed.ncbi.nlm.nih.gov/42875558/</w:t>
      </w:r>
    </w:p>
    <w:p>
      <w:pPr>
        <w:pStyle w:val="Heading2"/>
      </w:pPr>
      <w:r>
        <w:t>Dosiseskalierende Brachytherapie bei Prostatakarzinom-Rezidiv: 3-Jahres-Lokalkonrolle 73%</w:t>
      </w:r>
    </w:p>
    <w:p>
      <w:r>
        <w:rPr>
          <w:i/>
          <w:color w:val="666666"/>
          <w:sz w:val="18"/>
        </w:rPr>
        <w:t>Solanki AA et al.  ·  J Clin Oncol  ·  14.10.2026  ·  PMID 42874014</w:t>
      </w:r>
    </w:p>
    <w:p>
      <w:r>
        <w:t>Multizentrische Phase-I/II-Studie mit 62 Patienten, die fokale salvage High-Dose-Rate-Brachytherapie (30 Gy in 1–2 Fraktionen) mit genomischem Klassifizierer-Risikoschichtung für intraprosteatische Rezidive nach definitiver Radiotherapie evaluierte.</w:t>
      </w:r>
    </w:p>
    <w:p>
      <w:r>
        <w:rPr>
          <w:b/>
        </w:rPr>
        <w:t xml:space="preserve">Ergebnis: </w:t>
      </w:r>
      <w:r>
        <w:t>Median Follow-up 39,4 Monate. 3-Jahres-Raten: biochemische Progressionsfreiheit 62,7%, lokale Rezidivfreiheit 73,0%, fernmetastasenfreies Überleben 85,9%. Keine akuten Grad-3-Toxizitäten, zwei (3,2%) späte Grad-3-Ereignisse. Genomischer Score &gt;0,85 (n=4) prädizierten 100% Rezidive. Lebensqualitätsänderungen erreichten keine klinisch relevanten Unterschiede.</w:t>
      </w:r>
    </w:p>
    <w:p>
      <w:r>
        <w:rPr>
          <w:b/>
          <w:sz w:val="19"/>
        </w:rPr>
        <w:t xml:space="preserve">Übertragbarkeit: </w:t>
      </w:r>
      <w:r>
        <w:rPr>
          <w:sz w:val="19"/>
        </w:rPr>
        <w:t>USA-Konsortium, Verfahren technisch auf Deutschland übertragbar, klinische Validierung ausstehend</w:t>
      </w:r>
    </w:p>
    <w:p>
      <w:r>
        <w:rPr>
          <w:color w:val="5A7D3A"/>
          <w:sz w:val="18"/>
        </w:rPr>
        <w:t>https://pubmed.ncbi.nlm.nih.gov/42874014/</w:t>
      </w:r>
    </w:p>
    <w:p>
      <w:pPr>
        <w:pStyle w:val="Heading2"/>
      </w:pPr>
      <w:r>
        <w:t>ASCO-Leitlinie Gallenwegskrebs 2026: Immuntherapie + Chemotherapie erste Linie</w:t>
      </w:r>
    </w:p>
    <w:p>
      <w:r>
        <w:rPr>
          <w:i/>
          <w:color w:val="666666"/>
          <w:sz w:val="18"/>
        </w:rPr>
        <w:t>Shroff RT et al.  ·  J Clin Oncol  ·  14.10.2026  ·  PMID 42874012</w:t>
      </w:r>
    </w:p>
    <w:p>
      <w:r>
        <w:t>Aktualisierte ASCO-Leitlinie mit systematischer Evidenzanalyse zu Liquid Biopsy und systemischer Therapie bei fortgeschrittenem Gallenwegskrebs (mMMR/MSS und seltene Mutationen).</w:t>
      </w:r>
    </w:p>
    <w:p>
      <w:r>
        <w:rPr>
          <w:b/>
        </w:rPr>
        <w:t xml:space="preserve">Ergebnis: </w:t>
      </w:r>
      <w:r>
        <w:t>6 Studien zu Liquid Biopsy-Konkordanz mit Gewebebiopsie analysiert. 9 RCTs erste Linie, 5 RCTs/Phase-II zweite Linie. Empfehlungen: NGS Gewebe und RNA zur Biomarker-Detektion an Diagnose; pMMR/MSS erste Linie: Immune Checkpoint Inhibitor + Chemotherapie; dMMR/MSI-H: Pembrolizumab Monotherapie; Progression ohne Biomarker: FOLFOX oder Best Supportive Care; Zweitlinie biomarkergeführt (IDH1, FGFR2, BRAF V600E, HER2, Fusionen).</w:t>
      </w:r>
    </w:p>
    <w:p>
      <w:r>
        <w:rPr>
          <w:b/>
          <w:sz w:val="19"/>
        </w:rPr>
        <w:t xml:space="preserve">Übertragbarkeit: </w:t>
      </w:r>
      <w:r>
        <w:rPr>
          <w:sz w:val="19"/>
        </w:rPr>
        <w:t>USA/ASCO, internationale Evidenzsynthese, in Deutschland durch AMNOG-Bewertung und Zertifizierung anwendbar</w:t>
      </w:r>
    </w:p>
    <w:p>
      <w:r>
        <w:rPr>
          <w:color w:val="5A7D3A"/>
          <w:sz w:val="18"/>
        </w:rPr>
        <w:t>https://pubmed.ncbi.nlm.nih.gov/42874012/</w:t>
      </w:r>
    </w:p>
    <w:p>
      <w:pPr>
        <w:pStyle w:val="Heading2"/>
      </w:pPr>
      <w:r>
        <w:t>Geburtskohorten-Effekt erklärt Anstieg des Gebärmutterkrebses weltweit</w:t>
      </w:r>
    </w:p>
    <w:p>
      <w:r>
        <w:rPr>
          <w:i/>
          <w:color w:val="666666"/>
          <w:sz w:val="18"/>
        </w:rPr>
        <w:t>Kelly KP et al.  ·  J Natl Cancer Inst  ·  14.10.2026  ·  PMID 42872484</w:t>
      </w:r>
    </w:p>
    <w:p>
      <w:r>
        <w:t>Alter-Periode-Kohortenanalyse von Inzidenztrends des Endometriumkarzinoms bei Frauen 30–84 Jahren aus 24 Ländern (1998–2017) mit Fokus auf Geburtskohorten-Effekte.</w:t>
      </w:r>
    </w:p>
    <w:p>
      <w:r>
        <w:rPr>
          <w:b/>
        </w:rPr>
        <w:t xml:space="preserve">Ergebnis: </w:t>
      </w:r>
      <w:r>
        <w:t>1998–2017 stieg Inzidenz in 13 von 24 Ländern, schnellster Anstieg Thailand (+3,58%/Jahr, 95%-KI 2,78–4,38), Belarus (+3,32%, 3,06–3,57), Türkiye (+3,01%, 2,35–3,67); sank in Österreich (-1,57%) und Finnland (-0,76%). Geburtskohorten-Effekt detektiert in 15 Ländern. Kohorten-Ratenratios: Vereinigtes Königreich 3,45-fach höher (1983 vs. 1953, 95%-KI 2,67–4,46), Thailand 3,08-fach, Belarus 3,03-fach. Steilster Anstieg bei Frauen 30–34 Jahren.</w:t>
      </w:r>
    </w:p>
    <w:p>
      <w:r>
        <w:rPr>
          <w:b/>
          <w:sz w:val="19"/>
        </w:rPr>
        <w:t xml:space="preserve">Übertragbarkeit: </w:t>
      </w:r>
      <w:r>
        <w:rPr>
          <w:sz w:val="19"/>
        </w:rPr>
        <w:t>Internationale Krebsregisterdaten, Kohortenperspektive identifiziert frühe Lebenszeitfaktoren</w:t>
      </w:r>
    </w:p>
    <w:p>
      <w:r>
        <w:rPr>
          <w:color w:val="5A7D3A"/>
          <w:sz w:val="18"/>
        </w:rPr>
        <w:t>https://pubmed.ncbi.nlm.nih.gov/42872484/</w:t>
      </w:r>
    </w:p>
    <w:p>
      <w:pPr>
        <w:pStyle w:val="Heading2"/>
      </w:pPr>
      <w:r>
        <w:t>Genomische Biomarker vorhersagen Carboplatin-Ansprechen beim Mammakarzinom</w:t>
      </w:r>
    </w:p>
    <w:p>
      <w:r>
        <w:rPr>
          <w:i/>
          <w:color w:val="666666"/>
          <w:sz w:val="18"/>
        </w:rPr>
        <w:t>Pladsen AV et al.  ·  Clin Cancer Res  ·  14.10.2026  ·  PMID 42870529</w:t>
      </w:r>
    </w:p>
    <w:p>
      <w:r>
        <w:t>Prospektive randomisierte neoadjuvante Studie mit 187 Patienten (Norwegen), die DNA-basierte Biomarker (LOH-Fraktion, HRD-Status) zur Vorhersage des Carboplatin-Ansprechens bei HR+ und triple-negativem Brustkrebs evaluierte.</w:t>
      </w:r>
    </w:p>
    <w:p>
      <w:r>
        <w:rPr>
          <w:b/>
        </w:rPr>
        <w:t xml:space="preserve">Ergebnis: </w:t>
      </w:r>
      <w:r>
        <w:t>Triple-negativ: pathologische Komplettremission (pCR) 69% mit Carboplatin vs. 43% ohne (p=0,036), ereignisfreies Überleben signifikant verlängert (p=0,017). Bei niedrigem LOH-Anteil besserte Carboplatin ereignisfreies Überleben (p=0,007). HR+: pCR 15% vs. 11% (p=0,59), aber niedriges Residualtumorvolumen stieg von 16% auf 35% (p=0,033). HRD-positive HR+-Tumoren: 5/8 pCR mit vs. 4/47 ohne Carboplatin (p=0,002).</w:t>
      </w:r>
    </w:p>
    <w:p>
      <w:r>
        <w:rPr>
          <w:b/>
          <w:sz w:val="19"/>
        </w:rPr>
        <w:t xml:space="preserve">Übertragbarkeit: </w:t>
      </w:r>
      <w:r>
        <w:rPr>
          <w:sz w:val="19"/>
        </w:rPr>
        <w:t>Norwegische Universitätsklinik, vergleichbares europäisches Gesundheitssystem</w:t>
      </w:r>
    </w:p>
    <w:p>
      <w:r>
        <w:rPr>
          <w:color w:val="5A7D3A"/>
          <w:sz w:val="18"/>
        </w:rPr>
        <w:t>https://pubmed.ncbi.nlm.nih.gov/42870529/</w:t>
      </w:r>
    </w:p>
    <w:p>
      <w:pPr>
        <w:pStyle w:val="Heading1"/>
      </w:pPr>
      <w:r>
        <w:t>Aufgenommen am 17.10.2026</w:t>
      </w:r>
    </w:p>
    <w:p>
      <w:pPr>
        <w:pStyle w:val="Heading2"/>
      </w:pPr>
      <w:r>
        <w:t>Camrelizumab + Docetaxel/Carboplatin verbessert pathologische Komplettremission bei triple-negativem Brustkrebs</w:t>
      </w:r>
    </w:p>
    <w:p>
      <w:r>
        <w:rPr>
          <w:i/>
          <w:color w:val="666666"/>
          <w:sz w:val="18"/>
        </w:rPr>
        <w:t>Jiao D et al.  ·  Ann Oncol  ·  16.10.2026  ·  PMID 42887596</w:t>
      </w:r>
    </w:p>
    <w:p>
      <w:r>
        <w:t>Randomisierte Phase-III-Studie (China, 352 Patienten) zum Vergleich von Chemotherapie allein versus kombiniert mit dem PD-L1-Inhibitor Camrelizumab als neoadjuvante Therapie bei Stadien II-III triple-negativem Brustkrebs.</w:t>
      </w:r>
    </w:p>
    <w:p>
      <w:r>
        <w:rPr>
          <w:b/>
        </w:rPr>
        <w:t xml:space="preserve">Ergebnis: </w:t>
      </w:r>
      <w:r>
        <w:t>Pathologische Komplettremissionsrate (pCR) 57,5% unter Camrelizumab+Chemotherapie vs. 45,4% unter Chemotherapie allein (absoluter Unterschied 12,2%, p=0,014). Grad-3-4-Nebenwirkungen 24,9% vs. 21,8%; keine therapiebezogenen Todesfälle. Die Anthrazyklin-freie Kombination war gut verträglich.</w:t>
      </w:r>
    </w:p>
    <w:p>
      <w:r>
        <w:rPr>
          <w:b/>
          <w:sz w:val="19"/>
        </w:rPr>
        <w:t xml:space="preserve">Übertragbarkeit: </w:t>
      </w:r>
      <w:r>
        <w:rPr>
          <w:sz w:val="19"/>
        </w:rPr>
        <w:t>Neue Therapieoption für deutsches Gesundheitssystem, vergleichbare Studienqualität; Zulassung erforderlich.</w:t>
      </w:r>
    </w:p>
    <w:p>
      <w:r>
        <w:rPr>
          <w:color w:val="5A7D3A"/>
          <w:sz w:val="18"/>
        </w:rPr>
        <w:t>https://pubmed.ncbi.nlm.nih.gov/42887596/</w:t>
      </w:r>
    </w:p>
    <w:p>
      <w:pPr>
        <w:pStyle w:val="Heading2"/>
      </w:pPr>
      <w:r>
        <w:t>Firmonertinib zeigt hohe Ansprechrate bei seltenen EGFR-Mutationen in Lungenkrebs</w:t>
      </w:r>
    </w:p>
    <w:p>
      <w:r>
        <w:rPr>
          <w:i/>
          <w:color w:val="666666"/>
          <w:sz w:val="18"/>
        </w:rPr>
        <w:t>Le X et al.  ·  Cancer Cell  ·  16.10.2026  ·  PMID 42887497</w:t>
      </w:r>
    </w:p>
    <w:p>
      <w:r>
        <w:t>Phase-1b-Studie (FURTHER, multinationales Setting) mit 47 Patienten zu Firmonertinib, einem mutant-selektiven EGFR-TKI mit Gehirngängigkeit, bei fortgeschrittenem NSCLC mit EGFR-PACC-Mutationen.</w:t>
      </w:r>
    </w:p>
    <w:p>
      <w:r>
        <w:rPr>
          <w:b/>
        </w:rPr>
        <w:t xml:space="preserve">Ergebnis: </w:t>
      </w:r>
      <w:r>
        <w:t>Bei 160 mg: objektive Ansprechrate (ORR) 43%, medianes progressionsfreies Überleben (PFS) 11,1 Monate. Bei 240 mg: ORR 68%, medianes PFS 16,0 Monate. Bei Patienten mit Hirnmetastasen intranaale ORR 47% (8/17). Nebenwirkungen managebar, Dosisreduktionen 19-24%, kein Therapieabbruch wegen Toxizität.</w:t>
      </w:r>
    </w:p>
    <w:p>
      <w:r>
        <w:rPr>
          <w:b/>
          <w:sz w:val="19"/>
        </w:rPr>
        <w:t xml:space="preserve">Übertragbarkeit: </w:t>
      </w:r>
      <w:r>
        <w:rPr>
          <w:sz w:val="19"/>
        </w:rPr>
        <w:t>Seltene Mutationsgruppe; Übertragbarkeit auf Deutschland nach Zulassung gegeben.</w:t>
      </w:r>
    </w:p>
    <w:p>
      <w:r>
        <w:rPr>
          <w:color w:val="5A7D3A"/>
          <w:sz w:val="18"/>
        </w:rPr>
        <w:t>https://pubmed.ncbi.nlm.nih.gov/42887497/</w:t>
      </w:r>
    </w:p>
    <w:p>
      <w:pPr>
        <w:pStyle w:val="Heading2"/>
      </w:pPr>
      <w:r>
        <w:t>Lazertinib-Fortsetzung mit Chemotherapie nach Progression wirksam bei EGFR-mutantem Lungenkrebs</w:t>
      </w:r>
    </w:p>
    <w:p>
      <w:r>
        <w:rPr>
          <w:i/>
          <w:color w:val="666666"/>
          <w:sz w:val="18"/>
        </w:rPr>
        <w:t>Hong MH et al.  ·  Eur J Cancer  ·  08.10.2026  ·  PMID 42887461</w:t>
      </w:r>
    </w:p>
    <w:p>
      <w:r>
        <w:t>Phase-II-Studie (LUCAS, Südkorea, 86 Patienten) zur Kombination von Lazertinib mit Platin-Pemetrexed nach Progression unter vorherigem Lazertinib bei fortgeschrittenem EGFR-mutantem NSCLC.</w:t>
      </w:r>
    </w:p>
    <w:p>
      <w:r>
        <w:rPr>
          <w:b/>
        </w:rPr>
        <w:t xml:space="preserve">Ergebnis: </w:t>
      </w:r>
      <w:r>
        <w:t>Medianes PFS 9,5 Monate (p=0,017 gegen Nullhypothese 6,0 Monate). Medianes Gesamtüberleben (OS) 15,9 Monate. Objektive Ansprechrate 36,0%. Bei Patienten mit Hirnmetastasen medianes intrakranielles PFS 9,9 Monate mit seltener isolierter intrakranieller Progression. Grad-≥3-Nebenwirkungen 69,8%, überwiegend hämatologisch.</w:t>
      </w:r>
    </w:p>
    <w:p>
      <w:r>
        <w:rPr>
          <w:b/>
          <w:sz w:val="19"/>
        </w:rPr>
        <w:t xml:space="preserve">Übertragbarkeit: </w:t>
      </w:r>
      <w:r>
        <w:rPr>
          <w:sz w:val="19"/>
        </w:rPr>
        <w:t>Südkorea, vergleichbares Versicherungssystem; Lazertinib in Deutschland verfügbar.</w:t>
      </w:r>
    </w:p>
    <w:p>
      <w:r>
        <w:rPr>
          <w:color w:val="5A7D3A"/>
          <w:sz w:val="18"/>
        </w:rPr>
        <w:t>https://pubmed.ncbi.nlm.nih.gov/42887461/</w:t>
      </w:r>
    </w:p>
    <w:p>
      <w:pPr>
        <w:pStyle w:val="Heading2"/>
      </w:pPr>
      <w:r>
        <w:t>Finanzielle Navigationsberatung reduziert finanzielle Belastung bei Krebspatienten um 8 Punkte</w:t>
      </w:r>
    </w:p>
    <w:p>
      <w:r>
        <w:rPr>
          <w:i/>
          <w:color w:val="666666"/>
          <w:sz w:val="18"/>
        </w:rPr>
        <w:t>Wheeler SB et al.  ·  J Clin Oncol  ·  16.10.2026  ·  PMID 42885694</w:t>
      </w:r>
    </w:p>
    <w:p>
      <w:r>
        <w:t>Pragmatische Hybrid-Implementierungsstudie (USA, 8 Zentren: 4 ländlich, 4 urban; 179 Patienten mit finanzieller Belastung) zur Wirksamkeit von spezialisierter Finanzierungsberatung für Krebspatienten.</w:t>
      </w:r>
    </w:p>
    <w:p>
      <w:r>
        <w:rPr>
          <w:b/>
        </w:rPr>
        <w:t xml:space="preserve">Ergebnis: </w:t>
      </w:r>
      <w:r>
        <w:t>FACIT-COST-Punktzahl verbesserte sich signifikant um 8,1 Punkte (SD 10,0; p&lt;0,0001), von 6,6 (vor) auf 14,7 (nach). Ansprechen bei ländlichen Orten: +6,3 Punkte; bei urbanen: +9,3 Punkte. Interventionsnutzung hoch (73% der positiv gescreenten Patienten). Intervention als akzeptabel, responsiv und zeitgerecht bewertet.</w:t>
      </w:r>
    </w:p>
    <w:p>
      <w:r>
        <w:rPr>
          <w:b/>
          <w:sz w:val="19"/>
        </w:rPr>
        <w:t xml:space="preserve">Übertragbarkeit: </w:t>
      </w:r>
      <w:r>
        <w:rPr>
          <w:sz w:val="19"/>
        </w:rPr>
        <w:t>USA-Versorgungssystem; finanztoxisches Belastungsmodell auf deutsche Versorgung begrenzt übertragbar.</w:t>
      </w:r>
    </w:p>
    <w:p>
      <w:r>
        <w:rPr>
          <w:color w:val="5A7D3A"/>
          <w:sz w:val="18"/>
        </w:rPr>
        <w:t>https://pubmed.ncbi.nlm.nih.gov/42885694/</w:t>
      </w:r>
    </w:p>
    <w:p>
      <w:pPr>
        <w:pStyle w:val="Heading2"/>
      </w:pPr>
      <w:r>
        <w:t>QOPI-Qualitätskertifizierung in Spanien verbesser Patientenzufriedenheit und Schmerzmanagement</w:t>
      </w:r>
    </w:p>
    <w:p>
      <w:r>
        <w:rPr>
          <w:i/>
          <w:color w:val="666666"/>
          <w:sz w:val="18"/>
        </w:rPr>
        <w:t>García-Foncillas J et al.  ·  JCO Oncol Pract  ·  16.10.2026  ·  PMID 42885681</w:t>
      </w:r>
    </w:p>
    <w:p>
      <w:r>
        <w:t>Spanien, longitudinale Beschreibungsstudie über 10 Jahre QOPI-Implementierung (2015–2025) in onkologischen Praxen zur Bewertung von Qualitätsmaßnahmen und Zertifizierungsergebnissen über wiederholte Messzyklen.</w:t>
      </w:r>
    </w:p>
    <w:p>
      <w:r>
        <w:rPr>
          <w:b/>
        </w:rPr>
        <w:t xml:space="preserve">Ergebnis: </w:t>
      </w:r>
      <w:r>
        <w:t>Zertifizierte Praxen zeigten Verbesserungen in patientenzentrierten Maßnahmen nach Zertifizierung: emotionales Wohlbefinden 75,6% → 85,2%, Unfruchtbarkeitsrisiko-Gespräche 70,3% → 78,7%, angemessenes Schmerzmanagement 83,6% → 89,2%, Schmerzerfassung 83,6% → 89,5%. Benchmarking zeigte Verschiebung dieser Maßnahmen über QOPI-Durchschnitt nach Zertifizierung. Persistierende Verbesserungschancen in Therapieverifikation und Patienteninformation.</w:t>
      </w:r>
    </w:p>
    <w:p>
      <w:r>
        <w:rPr>
          <w:b/>
          <w:sz w:val="19"/>
        </w:rPr>
        <w:t xml:space="preserve">Übertragbarkeit: </w:t>
      </w:r>
      <w:r>
        <w:rPr>
          <w:sz w:val="19"/>
        </w:rPr>
        <w:t>Spanien, vergleichbares Sozialversicherungssystem; QOPI-Modell auf deutsche Onkologie-Zertifizierung übertragbar.</w:t>
      </w:r>
    </w:p>
    <w:p>
      <w:r>
        <w:rPr>
          <w:color w:val="5A7D3A"/>
          <w:sz w:val="18"/>
        </w:rPr>
        <w:t>https://pubmed.ncbi.nlm.nih.gov/42885681/</w:t>
      </w:r>
    </w:p>
    <w:p>
      <w:pPr>
        <w:pStyle w:val="Heading2"/>
      </w:pPr>
      <w:r>
        <w:t>NTCP-Modell für Speiseröhrentoxizität optimiert Protontherapie-Auswahl bei Lungenkrebs</w:t>
      </w:r>
    </w:p>
    <w:p>
      <w:r>
        <w:rPr>
          <w:i/>
          <w:color w:val="666666"/>
          <w:sz w:val="18"/>
        </w:rPr>
        <w:t>Wijsman R et al.  ·  Radiother Oncol  ·  15.10.2026  ·  PMID 42880415</w:t>
      </w:r>
    </w:p>
    <w:p>
      <w:r>
        <w:t>Niederlande, prospektive Validierungsstudie an 937 Patienten zur Überprüfung und Aktualisierung eines NTCP-Modells (normal tissue complication probability) zur Vorhersage von Grad-≥2-Speiseröhrentoxizität unter Radiotherapie bei Lungenkrebs.</w:t>
      </w:r>
    </w:p>
    <w:p>
      <w:r>
        <w:rPr>
          <w:b/>
        </w:rPr>
        <w:t xml:space="preserve">Ergebnis: </w:t>
      </w:r>
      <w:r>
        <w:t>Aktualisiertes Modell mit mittlerer Oesophagusdosis (MOD) und Gesamtbehandlungszeit (OTT) als Prädiktoren erreichte optimism-korrigierte AUC 0,75 mit Kalibrationsabfall 1,26. Heterogenität der Modellperformance über Kohorten I²=0%. Modell in nationales Indikationsprotokoll für Protontherapie-Auswahl aufgenommen.</w:t>
      </w:r>
    </w:p>
    <w:p>
      <w:r>
        <w:rPr>
          <w:b/>
          <w:sz w:val="19"/>
        </w:rPr>
        <w:t xml:space="preserve">Übertragbarkeit: </w:t>
      </w:r>
      <w:r>
        <w:rPr>
          <w:sz w:val="19"/>
        </w:rPr>
        <w:t>Niederländische Klinikdaten; direkt anwendbar auf deutsche Protontherapie-Zentren.</w:t>
      </w:r>
    </w:p>
    <w:p>
      <w:r>
        <w:rPr>
          <w:color w:val="5A7D3A"/>
          <w:sz w:val="18"/>
        </w:rPr>
        <w:t>https://pubmed.ncbi.nlm.nih.gov/42880415/</w:t>
      </w:r>
    </w:p>
    <w:p>
      <w:pPr>
        <w:pStyle w:val="Heading1"/>
      </w:pPr>
      <w:r>
        <w:t>Aufgenommen am 16.10.2026</w:t>
      </w:r>
    </w:p>
    <w:p>
      <w:pPr>
        <w:pStyle w:val="Heading2"/>
      </w:pPr>
      <w:r>
        <w:t>ESMO-Leitlinie zu Diagnostik und Behandlung von Magen- und Ösophaguskarzinom</w:t>
      </w:r>
    </w:p>
    <w:p>
      <w:r>
        <w:rPr>
          <w:i/>
          <w:color w:val="666666"/>
          <w:sz w:val="18"/>
        </w:rPr>
        <w:t>Al-Batran SE et al.  ·  Ann Oncol  ·  15.10.2026  ·  PMID 42880714</w:t>
      </w:r>
    </w:p>
    <w:p>
      <w:r>
        <w:t>Europäische Fachgesellschaft fasst aktuellen Stand zu Diagnose, Therapie und Nachsorge bei Magen- und Ösophaguskarzinom zusammen.</w:t>
      </w:r>
    </w:p>
    <w:p>
      <w:r>
        <w:rPr>
          <w:b/>
        </w:rPr>
        <w:t xml:space="preserve">Ergebnis: </w:t>
      </w:r>
      <w:r>
        <w:t>Die Leitlinie enthält aktualisierte Empfehlungen zu Staging, Chemotherapie, Radiotherapie, chirurgischen Verfahren und Überwachung, mit differenzierten Strategien je nach Tumorstadium und molekularen Merkmalen (HER2-, MSI-Status). Konkrete Behandlungspfade sind definiert.</w:t>
      </w:r>
    </w:p>
    <w:p>
      <w:r>
        <w:rPr>
          <w:b/>
          <w:sz w:val="19"/>
        </w:rPr>
        <w:t xml:space="preserve">Übertragbarkeit: </w:t>
      </w:r>
      <w:r>
        <w:rPr>
          <w:sz w:val="19"/>
        </w:rPr>
        <w:t>Deutschland: deutschsprachige Zentren unter ESMO-Mitgliedschaft, vergleichbare Leitlinienstruktur</w:t>
      </w:r>
    </w:p>
    <w:p>
      <w:r>
        <w:rPr>
          <w:color w:val="5A7D3A"/>
          <w:sz w:val="18"/>
        </w:rPr>
        <w:t>https://pubmed.ncbi.nlm.nih.gov/42880714/</w:t>
      </w:r>
    </w:p>
    <w:p>
      <w:pPr>
        <w:pStyle w:val="Heading1"/>
      </w:pPr>
      <w:r>
        <w:t>Aufgenommen am 15.10.2026</w:t>
      </w:r>
    </w:p>
    <w:p>
      <w:pPr>
        <w:pStyle w:val="Heading2"/>
      </w:pPr>
      <w:r>
        <w:t>Wiederholte Metastasen-Radiotherapie verzögert Androgen-Entzug beim Prostatakarzinom</w:t>
      </w:r>
    </w:p>
    <w:p>
      <w:r>
        <w:rPr>
          <w:i/>
          <w:color w:val="666666"/>
          <w:sz w:val="18"/>
        </w:rPr>
        <w:t>van der Walle R et al.  ·  Radiother Oncol  ·  14.10.2026  ·  PMID 42874780</w:t>
      </w:r>
    </w:p>
    <w:p>
      <w:r>
        <w:t>Multizentrische europäische Kohorte von 177 Patienten mit PSMA-PET-detektierten oligorekurrenten hormonempfindlichen Prostatakarzinomen, die ≥2 Zyklen metastasen-gerichteter Radiotherapie erhielten; Risikostratifizierung für Androgen-Deprivations-Therapie-Freiheit.</w:t>
      </w:r>
    </w:p>
    <w:p>
      <w:r>
        <w:rPr>
          <w:b/>
        </w:rPr>
        <w:t xml:space="preserve">Ergebnis: </w:t>
      </w:r>
      <w:r>
        <w:t>2-Jahres-ADT-Freiheit: 50,2% (95%-KI 41,4–58,3%). 2-Jahres-Polymetastasen-Freiheit 64,4%, Systemtherapie-Freiheit 83,5%, Gesamtüberleben 94,2%. Längeres Intervall zwischen erstem und zweitem MDRT (HR 0,96 pro Monat, p=0,003) und einzelne Läsion (vs. ≥2 Läsionen, HR 1,88, p=0,006) unabhängig mit ADT-Freiheit assoziiert. C-Index 0,68 (moderat).</w:t>
      </w:r>
    </w:p>
    <w:p>
      <w:r>
        <w:rPr>
          <w:b/>
          <w:sz w:val="19"/>
        </w:rPr>
        <w:t xml:space="preserve">Übertragbarkeit: </w:t>
      </w:r>
      <w:r>
        <w:rPr>
          <w:sz w:val="19"/>
        </w:rPr>
        <w:t>Niederlande, Polen, Österreich, Italien, Lettland; vergleichbare europäische Versorgungssysteme</w:t>
      </w:r>
    </w:p>
    <w:p>
      <w:r>
        <w:rPr>
          <w:color w:val="5A7D3A"/>
          <w:sz w:val="18"/>
        </w:rPr>
        <w:t>https://pubmed.ncbi.nlm.nih.gov/42874780/</w:t>
      </w:r>
    </w:p>
    <w:p>
      <w:pPr>
        <w:pStyle w:val="Heading2"/>
      </w:pPr>
      <w:r>
        <w:t>5-FU besser als Gemcitabin bei metastasiertem Ampullenkarzinom</w:t>
      </w:r>
    </w:p>
    <w:p>
      <w:r>
        <w:rPr>
          <w:i/>
          <w:color w:val="666666"/>
          <w:sz w:val="18"/>
        </w:rPr>
        <w:t>Vo-Quang E et al.  ·  Eur J Cancer  ·  09.10.2026  ·  PMID 42874215</w:t>
      </w:r>
    </w:p>
    <w:p>
      <w:r>
        <w:t>Real-World-Analyse von 85 französischen Patienten mit metastasierendem Ampullenkarzinom nach Resektion, die erstlinig Fluoropyrimidin- oder Gemcitabin-basierte Chemotherapie erhielten.</w:t>
      </w:r>
    </w:p>
    <w:p>
      <w:r>
        <w:rPr>
          <w:b/>
        </w:rPr>
        <w:t xml:space="preserve">Ergebnis: </w:t>
      </w:r>
      <w:r>
        <w:t>Mediane progressionsfreie Überlebenszeit (PFS) 6,7 Monate (95%-KI 4,8–8,9) unter 5-FU vs. Gemcitabin; unter 5-FU signifikant bessere PFS (Hazard Ratio 0,53, p=0,01), aber kein Unterschied beim Gesamtüberleben (medianes OS 15,6 Monate; HR 0,58 für Abwesenheit von Lebermetastasen, p=0,04). Objektive Ansprechrate ähnlich (36,2% vs. 32,0%, p=0,73).</w:t>
      </w:r>
    </w:p>
    <w:p>
      <w:r>
        <w:rPr>
          <w:b/>
          <w:sz w:val="19"/>
        </w:rPr>
        <w:t xml:space="preserve">Übertragbarkeit: </w:t>
      </w:r>
      <w:r>
        <w:rPr>
          <w:sz w:val="19"/>
        </w:rPr>
        <w:t>Frankreich, nationale prospektive FFCD-Kohorte mit vergleichbarem Gesundheitssystem</w:t>
      </w:r>
    </w:p>
    <w:p>
      <w:r>
        <w:rPr>
          <w:color w:val="5A7D3A"/>
          <w:sz w:val="18"/>
        </w:rPr>
        <w:t>https://pubmed.ncbi.nlm.nih.gov/42874215/</w:t>
      </w:r>
    </w:p>
    <w:p>
      <w:pPr>
        <w:pStyle w:val="Heading2"/>
      </w:pPr>
      <w:r>
        <w:t>Chemotherapie-freie Kombination überlegen bei Philadelphia-positiver ALL</w:t>
      </w:r>
    </w:p>
    <w:p>
      <w:r>
        <w:rPr>
          <w:i/>
          <w:color w:val="666666"/>
          <w:sz w:val="18"/>
        </w:rPr>
        <w:t>Chiaretti S et al.  ·  N Engl J Med  ·  15.10.2026  ·  PMID 42874102</w:t>
      </w:r>
    </w:p>
    <w:p>
      <w:r>
        <w:t>Randomisierte Phase-III-Studie (GIMEMA ALL2820) mit 236 Patienten mit neu diagnostizierter Philadelphia-positiver akuter lymphoblastischer Leukämie; Vergleich Ponatinib plus Blinatumomab vs. Imatinib plus Chemotherapie als Frontline-Therapie.</w:t>
      </w:r>
    </w:p>
    <w:p>
      <w:r>
        <w:rPr>
          <w:b/>
        </w:rPr>
        <w:t xml:space="preserve">Ergebnis: </w:t>
      </w:r>
      <w:r>
        <w:t>24-Monats-ereignisfreies Überleben: 86% (Ponatinib-Blinatumomab) vs. 67% (Imatinib-Chemotherapie), p&lt;0,001. Molekulare Remission nach Blinatumomab: 71% vs. 49%. Gesamtüberleben 90% vs. 85%. Nur 19% der Interventionsgruppe erhielten Stammzelltransplantation nach erster kompletter hämatologischer Remission. Kumulative Rezidivrate 5% vs. 13%.</w:t>
      </w:r>
    </w:p>
    <w:p>
      <w:r>
        <w:rPr>
          <w:b/>
          <w:sz w:val="19"/>
        </w:rPr>
        <w:t xml:space="preserve">Übertragbarkeit: </w:t>
      </w:r>
      <w:r>
        <w:rPr>
          <w:sz w:val="19"/>
        </w:rPr>
        <w:t>Italien, europäisches Zentren-Netzwerk, GIMEMA-Datenbank, GKV-System vergleichbar</w:t>
      </w:r>
    </w:p>
    <w:p>
      <w:r>
        <w:rPr>
          <w:color w:val="5A7D3A"/>
          <w:sz w:val="18"/>
        </w:rPr>
        <w:t>https://pubmed.ncbi.nlm.nih.gov/42874102/</w:t>
      </w:r>
    </w:p>
    <w:p>
      <w:pPr>
        <w:pStyle w:val="Heading2"/>
      </w:pPr>
      <w:r>
        <w:t>Platinum-Pemetrexed nach RET-Inhibitor-Versagen beim nicht-kleinzelligen Lungenkarzinom</w:t>
      </w:r>
    </w:p>
    <w:p>
      <w:r>
        <w:rPr>
          <w:i/>
          <w:color w:val="666666"/>
          <w:sz w:val="18"/>
        </w:rPr>
        <w:t>Miliziano D et al.  ·  Clin Cancer Res  ·  14.10.2026  ·  PMID 42873584</w:t>
      </w:r>
    </w:p>
    <w:p>
      <w:r>
        <w:t>Internationale Real-World-Analyse von 81 Patienten mit RET-Fusions-positivem metastasiertem NSCLC nach Progression unter erstliniger selektiver RET-Inhibitor-Therapie; zweitlinige Behandlung meist mit Platin-Pemetrexed ± Immunotherapie.</w:t>
      </w:r>
    </w:p>
    <w:p>
      <w:r>
        <w:rPr>
          <w:b/>
        </w:rPr>
        <w:t xml:space="preserve">Ergebnis: </w:t>
      </w:r>
      <w:r>
        <w:t>Zweitlinie: Objektive Ansprechrate 41% (12/29), mediane Real-World-PFS 6,1 Monate (95%-KI 4,8–11,4), medianes OS 13,7 Monate (95%-KI 8,7–26,5). Kein Unterschied zwischen Chemotherapie allein vs. Chemo-Immunotherapie (PFS 5,9 vs. 6,8 Monate, p=0,903). Drittlinie mit Taxan: mediane PFS 1,5 Monate, keine Ansprechrate.</w:t>
      </w:r>
    </w:p>
    <w:p>
      <w:r>
        <w:rPr>
          <w:b/>
          <w:sz w:val="19"/>
        </w:rPr>
        <w:t xml:space="preserve">Übertragbarkeit: </w:t>
      </w:r>
      <w:r>
        <w:rPr>
          <w:sz w:val="19"/>
        </w:rPr>
        <w:t>Internationales Konsortium, europäische Zentren vertreten, Versorgungsdaten übertragbar</w:t>
      </w:r>
    </w:p>
    <w:p>
      <w:r>
        <w:rPr>
          <w:color w:val="5A7D3A"/>
          <w:sz w:val="18"/>
        </w:rPr>
        <w:t>https://pubmed.ncbi.nlm.nih.gov/42873584/</w:t>
      </w:r>
    </w:p>
    <w:p>
      <w:pPr>
        <w:pStyle w:val="Heading2"/>
      </w:pPr>
      <w:r>
        <w:t>Reiseroute bis zur Radiotherapie belastet Lymphom-Patienten deutlich</w:t>
      </w:r>
    </w:p>
    <w:p>
      <w:r>
        <w:rPr>
          <w:i/>
          <w:color w:val="666666"/>
          <w:sz w:val="18"/>
        </w:rPr>
        <w:t>Steike DR et al.  ·  Strahlenther Onkol  ·  14.10.2026  ·  PMID 42873235</w:t>
      </w:r>
    </w:p>
    <w:p>
      <w:r>
        <w:t>Prospektive deutsche Registerstudie von 82 Patienten mit primären kutanen Lymphomen, die zur Strahlentherapie überwiesen wurden; Erfassung von Lebensqualitäts-Präferenzen, Reiseentfernung und gesundheitsbezogener Lebensqualität vor Therapiebeginn.</w:t>
      </w:r>
    </w:p>
    <w:p>
      <w:r>
        <w:rPr>
          <w:b/>
        </w:rPr>
        <w:t xml:space="preserve">Ergebnis: </w:t>
      </w:r>
      <w:r>
        <w:t>Mediane Reisedistanz für Sézary-Syndrom 201 km, Mykosis fungoides 114 km, andere kutane Lymphome 65 km. 38% der Patienten priorisierten Lebensqualität, 25% Lebensdauer, 37% bewerteten beide gleich. Älteres Alter und längere Reisedistanz waren mit Lebensqualitätspräferenz assoziiert. Höhere Beeinträchtigung der Lebensqualität bei MF und SS vs. anderen kutanen Lymphomen.</w:t>
      </w:r>
    </w:p>
    <w:p>
      <w:r>
        <w:rPr>
          <w:b/>
          <w:sz w:val="19"/>
        </w:rPr>
        <w:t xml:space="preserve">Übertragbarkeit: </w:t>
      </w:r>
      <w:r>
        <w:rPr>
          <w:sz w:val="19"/>
        </w:rPr>
        <w:t>Deutschland, Westfalen-Lippe, deutsches Gesundheitssystem, direkt übertragbar</w:t>
      </w:r>
    </w:p>
    <w:p>
      <w:r>
        <w:rPr>
          <w:color w:val="5A7D3A"/>
          <w:sz w:val="18"/>
        </w:rPr>
        <w:t>https://pubmed.ncbi.nlm.nih.gov/42873235/</w:t>
      </w:r>
    </w:p>
    <w:p>
      <w:pPr>
        <w:pStyle w:val="Heading2"/>
      </w:pPr>
      <w:r>
        <w:t>Gewichtsverlust-Episoden vorhersagbar, Prognose beeinträchtigt</w:t>
      </w:r>
    </w:p>
    <w:p>
      <w:r>
        <w:rPr>
          <w:i/>
          <w:color w:val="666666"/>
          <w:sz w:val="18"/>
        </w:rPr>
        <w:t>Castillon VJ et al.  ·  Nat Med  ·  12.10.2026  ·  PMID 42864412</w:t>
      </w:r>
    </w:p>
    <w:p>
      <w:r>
        <w:t>Gesundheitssystem-weite klinogenomische Analyse von 52.236 Krebspatienten (Memorial Sloan Kettering 2010–2024, externe Validierung Dana-Farber mit 5.785 Patienten) zur Charakterisierung von Kachexie-Episoden und ihren Assoziationen mit Tumorgenotypen, Serologie und Outcome.</w:t>
      </w:r>
    </w:p>
    <w:p>
      <w:r>
        <w:rPr>
          <w:b/>
        </w:rPr>
        <w:t xml:space="preserve">Ergebnis: </w:t>
      </w:r>
      <w:r>
        <w:t>Kachexie-Episoden clusterten bei Krankheitsprogression und waren in fast allen Tumortypen mit inferiorem Outcome assoziiert. Konsistente Serum-Signatur: niedrige Albumin/Hämoglobin, erhöhte Leberenzyme. TP53-Mutation assoziiert mit häufigeren Kachexie-Episoden. Multivariates Vorhersage-Modell für Lungen-, Kolorektal- und Prostatakarzinom entwickelt und in externer Kohorte validiert.</w:t>
      </w:r>
    </w:p>
    <w:p>
      <w:r>
        <w:rPr>
          <w:b/>
          <w:sz w:val="19"/>
        </w:rPr>
        <w:t xml:space="preserve">Übertragbarkeit: </w:t>
      </w:r>
      <w:r>
        <w:rPr>
          <w:sz w:val="19"/>
        </w:rPr>
        <w:t>USA, rutineklinische Daten, Genotypen-Verknüpfung übertragbar</w:t>
      </w:r>
    </w:p>
    <w:p>
      <w:r>
        <w:rPr>
          <w:color w:val="5A7D3A"/>
          <w:sz w:val="18"/>
        </w:rPr>
        <w:t>https://pubmed.ncbi.nlm.nih.gov/42864412/</w:t>
      </w:r>
    </w:p>
    <w:p>
      <w:pPr>
        <w:pStyle w:val="Heading1"/>
      </w:pPr>
      <w:r>
        <w:t>Aufgenommen am 14.10.2026</w:t>
      </w:r>
    </w:p>
    <w:p>
      <w:pPr>
        <w:pStyle w:val="Heading2"/>
      </w:pPr>
      <w:r>
        <w:t>Beschleunigte Hypofractionierung bei inoperablem NSCLC: Konsensus gegen überlegene Evidenz</w:t>
      </w:r>
    </w:p>
    <w:p>
      <w:r>
        <w:rPr>
          <w:i/>
          <w:color w:val="666666"/>
          <w:sz w:val="18"/>
        </w:rPr>
        <w:t>Chun SG et al.  ·  Int J Radiat Oncol Biol Phys  ·  13.10.2026  ·  PMID 42869299</w:t>
      </w:r>
    </w:p>
    <w:p>
      <w:r>
        <w:t>Ein multidisziplinäres Expertenpanel der American Radium Society entwickelte Appropriate-Use-Kriterien für beschleunigte hypofractionierte Strahlentherapie bei lokal fortgeschrittenem NSCLC ohne Chemotherapie-Eignung.</w:t>
      </w:r>
    </w:p>
    <w:p>
      <w:r>
        <w:rPr>
          <w:b/>
        </w:rPr>
        <w:t xml:space="preserve">Ergebnis: </w:t>
      </w:r>
      <w:r>
        <w:t>Das Panel befürwortete IMRT und Protonentherapie mit Dosisbeschränkungen (Lunge V20&lt;30%, Herz V40&lt;20%) bei 15-Fraktionen-Hypofractionierung, lehnte aber auf Basis von 14 klinischen Studien (davon nur eine Phase III randomisiert) die Überlegenheit gegenüber konventioneller 60-Gy-Fraktionierung ab. Consolidative, nicht concurrent Immuntherapie wird empfohlen.</w:t>
      </w:r>
    </w:p>
    <w:p>
      <w:r>
        <w:rPr>
          <w:b/>
          <w:sz w:val="19"/>
        </w:rPr>
        <w:t xml:space="preserve">Übertragbarkeit: </w:t>
      </w:r>
      <w:r>
        <w:rPr>
          <w:sz w:val="19"/>
        </w:rPr>
        <w:t>Leitlinienconsensus; deutsche Zentren folgen DEGRO-Empfehlungen mit vergleichbarem Evidenzstand</w:t>
      </w:r>
    </w:p>
    <w:p>
      <w:r>
        <w:rPr>
          <w:color w:val="5A7D3A"/>
          <w:sz w:val="18"/>
        </w:rPr>
        <w:t>https://pubmed.ncbi.nlm.nih.gov/42869299/</w:t>
      </w:r>
    </w:p>
    <w:p>
      <w:pPr>
        <w:pStyle w:val="Heading2"/>
      </w:pPr>
      <w:r>
        <w:t>Immunoscore stratifiziert HPV-assoziiertes Oropharynxkarzinom besser als TNM-Stadium</w:t>
      </w:r>
    </w:p>
    <w:p>
      <w:r>
        <w:rPr>
          <w:i/>
          <w:color w:val="666666"/>
          <w:sz w:val="18"/>
        </w:rPr>
        <w:t>Nguyen DH et al.  ·  Clin Cancer Res  ·  13.10.2026  ·  PMID 42868274</w:t>
      </w:r>
    </w:p>
    <w:p>
      <w:r>
        <w:t>Ein internationales Team validierte den Immunoscore (CD3+/CD8+-Dichten in Tumor und Invasionsrand) zur Prognosevorhersage in HPV-positivem Oropharynxkarzinom in drei Validierungskohorten mit insgesamt 191 Patienten.</w:t>
      </w:r>
    </w:p>
    <w:p>
      <w:r>
        <w:rPr>
          <w:b/>
        </w:rPr>
        <w:t xml:space="preserve">Ergebnis: </w:t>
      </w:r>
      <w:r>
        <w:t>Immunoscore-High-Patienten erreichten über alle Kohorten hinweg besseres 3-Jahres-krankheitsfreies Überleben (DFS) (log-rank p&lt;0,05). Im multivariablen Modell war Immunoscore-Low der unabhängige Prognosefaktor mit größtem adjustiertem Effekt (HR 9,03, 95%-KI 4,02–20,31, p&lt;0,001). Das kombinierte Immunoscore-klinische Modell zeigte bessere DFS-Vorhersage als klinisches Modell allein (C-Index 0,82 vs. 0,70, p&lt;0,0001).</w:t>
      </w:r>
    </w:p>
    <w:p>
      <w:r>
        <w:rPr>
          <w:b/>
          <w:sz w:val="19"/>
        </w:rPr>
        <w:t xml:space="preserve">Übertragbarkeit: </w:t>
      </w:r>
      <w:r>
        <w:rPr>
          <w:sz w:val="19"/>
        </w:rPr>
        <w:t>Europäisches Multizenterstudie, französische/UK-Daten, internationales Validierungskonzept übertragbar</w:t>
      </w:r>
    </w:p>
    <w:p>
      <w:r>
        <w:rPr>
          <w:color w:val="5A7D3A"/>
          <w:sz w:val="18"/>
        </w:rPr>
        <w:t>https://pubmed.ncbi.nlm.nih.gov/42868274/</w:t>
      </w:r>
    </w:p>
    <w:p>
      <w:pPr>
        <w:pStyle w:val="Heading2"/>
      </w:pPr>
      <w:r>
        <w:t>Übermäßige Fettgewebszunahme unter Therapie erhöht Rezidivrisiko bei Hodgkin-Lymphom bei Kindern</w:t>
      </w:r>
    </w:p>
    <w:p>
      <w:r>
        <w:rPr>
          <w:i/>
          <w:color w:val="666666"/>
          <w:sz w:val="18"/>
        </w:rPr>
        <w:t>Wadhwa A et al.  ·  J Natl Cancer Inst  ·  13.10.2026  ·  PMID 42867833</w:t>
      </w:r>
    </w:p>
    <w:p>
      <w:r>
        <w:t>Longitudinale Analyse von 951 Kindern mit intermediärem/hochrisiko Hodgkin-Lymphom aus Therapiestudien mit CT-Messung von Skelettmuskel- und Fettgewebsfläche vor/nach 2 Chemotherapie-Zyklen.</w:t>
      </w:r>
    </w:p>
    <w:p>
      <w:r>
        <w:rPr>
          <w:b/>
        </w:rPr>
        <w:t xml:space="preserve">Ergebnis: </w:t>
      </w:r>
      <w:r>
        <w:t>Übermäßige Fettgewebszunahme (beobachtet in 36,2%) war bei Patienten mit negativem PET2-Scan mit 1,73-fach erhöhter bereinigter Hazard für Relapse assoziiert (95%-KI 1,08–2,77, p=0,02), nicht jedoch bei positivem PET2 (HR 0,90, 95%-KI 0,51–1,57, p=0,70). Skelettmuskelveränderungen zeigten keine Rezidivassoziation.</w:t>
      </w:r>
    </w:p>
    <w:p>
      <w:r>
        <w:rPr>
          <w:b/>
          <w:sz w:val="19"/>
        </w:rPr>
        <w:t xml:space="preserve">Übertragbarkeit: </w:t>
      </w:r>
      <w:r>
        <w:rPr>
          <w:sz w:val="19"/>
        </w:rPr>
        <w:t>US-Kohortenstudie (SEER/COG-Daten); Kandidaten-Biomarker, Mechanismus unklar</w:t>
      </w:r>
    </w:p>
    <w:p>
      <w:r>
        <w:rPr>
          <w:color w:val="5A7D3A"/>
          <w:sz w:val="18"/>
        </w:rPr>
        <w:t>https://pubmed.ncbi.nlm.nih.gov/42867833/</w:t>
      </w:r>
    </w:p>
    <w:p>
      <w:pPr>
        <w:pStyle w:val="Heading2"/>
      </w:pPr>
      <w:r>
        <w:t>Unter-Nutzung von Knochenschutztherapie bei mCRPC trotz hoher Morbidität in Hochrisiko-Patienten</w:t>
      </w:r>
    </w:p>
    <w:p>
      <w:r>
        <w:rPr>
          <w:i/>
          <w:color w:val="666666"/>
          <w:sz w:val="18"/>
        </w:rPr>
        <w:t>van der Velden KJM et al.  ·  J Natl Cancer Inst  ·  13.10.2026  ·  PMID 42867156</w:t>
      </w:r>
    </w:p>
    <w:p>
      <w:r>
        <w:t>Vergleichende Analyse von 2.115 mCRPC-Patienten mit Knochenmetas aus Dutch CAPRI-3-Register (2016–2021) versus 1.923 aus CAPRI-2 (2010–2015), Messung von Knochenschutzmittel-Nutzung und symptomatischen skelettalen Ereignissen nach Chemotherapie-Initiierung.</w:t>
      </w:r>
    </w:p>
    <w:p>
      <w:r>
        <w:rPr>
          <w:b/>
        </w:rPr>
        <w:t xml:space="preserve">Ergebnis: </w:t>
      </w:r>
      <w:r>
        <w:t>Knochenschutzmittel-Einsatz sank von 60% auf 28%, nur 8% erhielten guideline-empfohlenes Timing (≤4 Wochen nach Therapiestart). Gesamte symptomatische skelettale Ereignis-Inzidenz nahm ab (0,26 auf 0,21 pro Patient-Jahr), aber Hochrisiko-Patienten mit frühem Knochenschutz erlebten höchste Ereignisdichte (0,29) und kürzestes ereignisfreies Überleben (8,7 vs. 14,6 Monate, p&lt;0,001).</w:t>
      </w:r>
    </w:p>
    <w:p>
      <w:r>
        <w:rPr>
          <w:b/>
          <w:sz w:val="19"/>
        </w:rPr>
        <w:t xml:space="preserve">Übertragbarkeit: </w:t>
      </w:r>
      <w:r>
        <w:rPr>
          <w:sz w:val="19"/>
        </w:rPr>
        <w:t>Niederlande, vergleichbares Versicherungssystem und Dokumentationstandards wie Deutschland</w:t>
      </w:r>
    </w:p>
    <w:p>
      <w:r>
        <w:rPr>
          <w:color w:val="5A7D3A"/>
          <w:sz w:val="18"/>
        </w:rPr>
        <w:t>https://pubmed.ncbi.nlm.nih.gov/42867156/</w:t>
      </w:r>
    </w:p>
    <w:p>
      <w:pPr>
        <w:pStyle w:val="Heading2"/>
      </w:pPr>
      <w:r>
        <w:t>Hochgradige Befolgung von Lifestyle-Leitlinien verbessert Gesundheit bei Chemotherapie-behandelten Brustkrebsüberlebenden</w:t>
      </w:r>
    </w:p>
    <w:p>
      <w:r>
        <w:rPr>
          <w:i/>
          <w:color w:val="666666"/>
          <w:sz w:val="18"/>
        </w:rPr>
        <w:t>Bodelon C et al.  ·  J Natl Cancer Inst  ·  13.10.2026  ·  PMID 42867136</w:t>
      </w:r>
    </w:p>
    <w:p>
      <w:r>
        <w:t>Prospektive Kohortenstudie mit 1.610 Brustkrebsüberlebenden und 16.100 altersgepaarten Kontrollpersonen aus der American Cancer Society Cancer Prevention Study-3, Auswertung der Assoziation zwischen Befolgung von ACS-Lifestyle-Leitlinien (Score 0–8) und Patient-Reported Outcomes Measurement Information System Global Health Scale.</w:t>
      </w:r>
    </w:p>
    <w:p>
      <w:r>
        <w:rPr>
          <w:b/>
        </w:rPr>
        <w:t xml:space="preserve">Ergebnis: </w:t>
      </w:r>
      <w:r>
        <w:t>Höhere Leitlinien-Befolgung war mit besserer physischer Gesundheit assoziiert (p&lt;0,001). Chemotherapie-behandelte Überlebende mit niedriger Befolgung zeigten schlechtere Gesundheit (&lt;3 Jahre: β=−2,67, 95%-KI −3,77 bis −1,58; ≥3 Jahre: β=−2,10, 95%-KI −3,70 bis −0,51). Mit hoher Befolgung war Gesundheit vergleichbar mit nicht-krebserkrankten Frauen oder besser (&lt;3 Jahre: β=1,09, 95%-KI 0,30–1,89; ≥3 Jahre: β=2,56, 95%-KI 1,40–3,72).</w:t>
      </w:r>
    </w:p>
    <w:p>
      <w:r>
        <w:rPr>
          <w:b/>
          <w:sz w:val="19"/>
        </w:rPr>
        <w:t xml:space="preserve">Übertragbarkeit: </w:t>
      </w:r>
      <w:r>
        <w:rPr>
          <w:sz w:val="19"/>
        </w:rPr>
        <w:t>USA-Daten; Lifestyle-Empfehlungen gelten international, Übertragbarkeit auf deutsche Nachsorge</w:t>
      </w:r>
    </w:p>
    <w:p>
      <w:r>
        <w:rPr>
          <w:color w:val="5A7D3A"/>
          <w:sz w:val="18"/>
        </w:rPr>
        <w:t>https://pubmed.ncbi.nlm.nih.gov/42867136/</w:t>
      </w:r>
    </w:p>
    <w:p>
      <w:pPr>
        <w:pStyle w:val="Heading2"/>
      </w:pPr>
      <w:r>
        <w:t>MXD4-abhängige Proliferationspause ermöglicht Hirnmetastasen-Überleben: therapeutische Angriffsfläche</w:t>
      </w:r>
    </w:p>
    <w:p>
      <w:r>
        <w:rPr>
          <w:i/>
          <w:color w:val="666666"/>
          <w:sz w:val="18"/>
        </w:rPr>
        <w:t>García-Gómez P et al.  ·  Cancer Cell  ·  12.10.2026  ·  PMID 42805170</w:t>
      </w:r>
    </w:p>
    <w:p>
      <w:r>
        <w:t>Mechanistische Studie an experimentellen Hirnmetastasen-Modellen und Patienten-Mikrometastasen zur Identifikation adaptiver Zustände metastatischer Zellen vor vaskulärer Ko-Option; genetische Disruption von MXD4 (MYC-Antagonist) und Screening nach therapeutischen Vulnerabilitäten in Organ-Kulturen.</w:t>
      </w:r>
    </w:p>
    <w:p>
      <w:r>
        <w:rPr>
          <w:b/>
        </w:rPr>
        <w:t xml:space="preserve">Ergebnis: </w:t>
      </w:r>
      <w:r>
        <w:t>MXD4-abhängige vorübergehende Proliferationspause puffert Early-Colonization-Stress ab. Genetische MXD4-Disruption beeinträchtigt Mikrometastasen-Überleben und verhindert Progression zu Makrometastasen. Vulnerabilität der Pause ist mit klinisch verfügbaren Medikamenten angreifbar; Modell validiert in Patienten-Hirnmikrometastasen.</w:t>
      </w:r>
    </w:p>
    <w:p>
      <w:r>
        <w:rPr>
          <w:b/>
          <w:sz w:val="19"/>
        </w:rPr>
        <w:t xml:space="preserve">Übertragbarkeit: </w:t>
      </w:r>
      <w:r>
        <w:rPr>
          <w:sz w:val="19"/>
        </w:rPr>
        <w:t>Multinationale Grundlagen-/Translationsforschung (Spanien, UK, USA); klinischer Modellorganismus (Patient-Kulturen)</w:t>
      </w:r>
    </w:p>
    <w:p>
      <w:r>
        <w:rPr>
          <w:color w:val="5A7D3A"/>
          <w:sz w:val="18"/>
        </w:rPr>
        <w:t>https://pubmed.ncbi.nlm.nih.gov/42805170/</w:t>
      </w:r>
    </w:p>
    <w:p>
      <w:pPr>
        <w:pStyle w:val="Heading1"/>
      </w:pPr>
      <w:r>
        <w:t>Aufgenommen am 13.10.2026</w:t>
      </w:r>
    </w:p>
    <w:p>
      <w:pPr>
        <w:pStyle w:val="Heading2"/>
      </w:pPr>
      <w:r>
        <w:t>Bluttest-Risikomodell für Lungenkrebs verbessert Früherkennung gegenüber etabliertem Standard</w:t>
      </w:r>
    </w:p>
    <w:p>
      <w:r>
        <w:rPr>
          <w:i/>
          <w:color w:val="666666"/>
          <w:sz w:val="18"/>
        </w:rPr>
        <w:t>Skov-Jeppesen SM et al.  ·  J Clin Oncol  ·  12.10.2026  ·  PMID 42863103</w:t>
      </w:r>
    </w:p>
    <w:p>
      <w:r>
        <w:t>Dänische prospektive Kohortenstudie entwickelt und validiert ein Bluttest-gestütztes Risikomodell (CPH-Lung) zur Vorhersage des 6-Jahres-Lungenkrebsrisikos bei Rauchern vor bildgebender Screening.</w:t>
      </w:r>
    </w:p>
    <w:p>
      <w:r>
        <w:rPr>
          <w:b/>
        </w:rPr>
        <w:t xml:space="preserve">Ergebnis: </w:t>
      </w:r>
      <w:r>
        <w:t>CPH-Lung erreichte im Validierungskollektiv eine AUC von 0,783 versus 0,720 für PLCOm2012 (p=0,0059). Bei gleicher Spezifität wie aktuelle Screeningkriterien (77,7%) zeigte CPH-Lung höhere Sensitivität bei Frauen (57,6% vs. 39,2%, p&lt;0,0001) und Männern (61,4% vs. 54,7%, p=0,004). Patienten, die ausschließlich durch CPH-Lung erkannt wurden, waren im Mittel jünger (68,2 vs. 76,5 Jahre, p&lt;0,0001).</w:t>
      </w:r>
    </w:p>
    <w:p>
      <w:r>
        <w:rPr>
          <w:b/>
          <w:sz w:val="19"/>
        </w:rPr>
        <w:t xml:space="preserve">Übertragbarkeit: </w:t>
      </w:r>
      <w:r>
        <w:rPr>
          <w:sz w:val="19"/>
        </w:rPr>
        <w:t>Nordische Gesundheitssysteme, Daten aus prospektiven bevölkerungsbasierten Kohorten, vergleichbar strukturiertes Screening.</w:t>
      </w:r>
    </w:p>
    <w:p>
      <w:r>
        <w:rPr>
          <w:color w:val="5A7D3A"/>
          <w:sz w:val="18"/>
        </w:rPr>
        <w:t>https://pubmed.ncbi.nlm.nih.gov/42863103/</w:t>
      </w:r>
    </w:p>
    <w:p>
      <w:pPr>
        <w:pStyle w:val="Heading2"/>
      </w:pPr>
      <w:r>
        <w:t>Konsolidative Thoraxbestrahlung nach Chemoimmuntherapie verbessert Überleben bei extensivem Kleinzellungkrebs</w:t>
      </w:r>
    </w:p>
    <w:p>
      <w:r>
        <w:rPr>
          <w:i/>
          <w:color w:val="666666"/>
          <w:sz w:val="18"/>
        </w:rPr>
        <w:t>Bai B et al.  ·  Strahlenther Onkol  ·  12.10.2026  ·  PMID 42862283</w:t>
      </w:r>
    </w:p>
    <w:p>
      <w:r>
        <w:t>Retrospektive chinesische Kohortenstudie vergleicht erste Chemoimmuntherapie allein (CT-IT) versus CT-IT plus konsolidative Thoraxbestrahlung (cTRT) bei 199 Patienten mit extensivem kleinzelligem Lungenkarzinom (ES-SCLC).</w:t>
      </w:r>
    </w:p>
    <w:p>
      <w:r>
        <w:rPr>
          <w:b/>
        </w:rPr>
        <w:t xml:space="preserve">Ergebnis: </w:t>
      </w:r>
      <w:r>
        <w:t>Mediane progressionsfreie Überlebenszeit (PFS) war signifikant länger mit CT-IT + cTRT versus CT-IT allein (p&lt;0,001). Mediales Gesamtüberleben (OS) war ebenfalls signifikant verlängert mit cTRT (p&lt;0,001). Im multivariaten Modell war cTRT unabhängig mit besserer PFS assoziiert (p&lt;0,001). Sicherheitsprofil war vergleichbar; Grad-3-4-Toxizitäten traten in beiden Gruppen ähnlich häufig auf. Grad-1-2-Dermatitis und Gastrointestinalitoxizität waren häufiger in der cTRT-Gruppe.</w:t>
      </w:r>
    </w:p>
    <w:p>
      <w:r>
        <w:rPr>
          <w:b/>
          <w:sz w:val="19"/>
        </w:rPr>
        <w:t xml:space="preserve">Übertragbarkeit: </w:t>
      </w:r>
      <w:r>
        <w:rPr>
          <w:sz w:val="19"/>
        </w:rPr>
        <w:t>China - Behandlungsalgorithmus übertragbar, aber Validierung in europäischen Real-World-Daten erforderlich vor Routineimplementierung.</w:t>
      </w:r>
    </w:p>
    <w:p>
      <w:r>
        <w:rPr>
          <w:color w:val="5A7D3A"/>
          <w:sz w:val="18"/>
        </w:rPr>
        <w:t>https://pubmed.ncbi.nlm.nih.gov/42862283/</w:t>
      </w:r>
    </w:p>
    <w:p>
      <w:pPr>
        <w:pStyle w:val="Heading2"/>
      </w:pPr>
      <w:r>
        <w:t>Kombinationstherapie mit RNA-Polymerase-I- und CDK-Inhibitor zeigt Synergie bei akuter myeloischer Leukämie</w:t>
      </w:r>
    </w:p>
    <w:p>
      <w:r>
        <w:rPr>
          <w:i/>
          <w:color w:val="666666"/>
          <w:sz w:val="18"/>
        </w:rPr>
        <w:t>Hein N et al.  ·  Leukemia  ·  08.10.2026  ·  PMID 42850350</w:t>
      </w:r>
    </w:p>
    <w:p>
      <w:r>
        <w:t>Australische präklinische und translatorische Studie identifiziert durch Hochdurchsatz-Screening Dinaciclib (CDK-Inhibitor) als Kombinationspartner zu CX-5461 (Ribosomen-Biosynthese-Inhibitor) in genetisch diversen AML-Modellen.</w:t>
      </w:r>
    </w:p>
    <w:p>
      <w:r>
        <w:rPr>
          <w:b/>
        </w:rPr>
        <w:t xml:space="preserve">Ergebnis: </w:t>
      </w:r>
      <w:r>
        <w:t>Dinaciclib wirkt synergistisch mit CX-5461 in mehreren humanen AML-Zelllinien und verbessert das Überleben in murinen AML-Modellen signifikant. Synergismus beruhte teilweise auf kombinatorischer Aktivierung des nucleolar surveillance pathway. Dinaciclib löste schnelle Apoptose aus, während CX-5461 primär Zellzyklus-Arrest verursachte; zusammen führte dies zu effizienter Tumorclearance und verzögertem Resistenzauftreten. In primären AML-Proben war Koloniebildung reduziert.</w:t>
      </w:r>
    </w:p>
    <w:p>
      <w:r>
        <w:rPr>
          <w:b/>
          <w:sz w:val="19"/>
        </w:rPr>
        <w:t xml:space="preserve">Übertragbarkeit: </w:t>
      </w:r>
      <w:r>
        <w:rPr>
          <w:sz w:val="19"/>
        </w:rPr>
        <w:t>Grundlagenevidenz, klinische Translation noch ausstehend; Mechanismus-Identifizierung liefert Rational für Phase-1-Studien.</w:t>
      </w:r>
    </w:p>
    <w:p>
      <w:r>
        <w:rPr>
          <w:color w:val="5A7D3A"/>
          <w:sz w:val="18"/>
        </w:rPr>
        <w:t>https://pubmed.ncbi.nlm.nih.gov/42850350/</w:t>
      </w:r>
    </w:p>
    <w:p>
      <w:pPr>
        <w:pStyle w:val="Heading2"/>
      </w:pPr>
      <w:r>
        <w:t>Koloskopie-Screening reduziert Darmkrebssterblichkeit nicht in nordischen Populationen</w:t>
      </w:r>
    </w:p>
    <w:p>
      <w:r>
        <w:rPr>
          <w:i/>
          <w:color w:val="666666"/>
          <w:sz w:val="18"/>
        </w:rPr>
        <w:t>Ladabaum U et al.  ·  Lancet  ·  10.10.2026  ·  PMID 42849474</w:t>
      </w:r>
    </w:p>
    <w:p>
      <w:r>
        <w:t>Große randomisierte skandinavische Studie verglich bei über 400.000 Personen Koloskopie-Screening vs. übliche Versorgung bei asymptomatischen Erwachsenen (55–64 Jahre) zur Reduktion von Darmkrebs-Sterblichkeit und Inzidenz.</w:t>
      </w:r>
    </w:p>
    <w:p>
      <w:r>
        <w:rPr>
          <w:b/>
        </w:rPr>
        <w:t xml:space="preserve">Ergebnis: </w:t>
      </w:r>
      <w:r>
        <w:t>Koloskopie reduzierte Darmkrebs-Inzidenz, führte aber nicht zu signifikanter Reduktion der Darmkrebssterblichkeit im Vergleich zu Kontrollgruppe. Die Ergebnisse werfen Fragen zu Effektivität des systematischen Screening bei mittlerem Risiko auf, insbesondere über den beobachteten Follow-up-Zeitraum.</w:t>
      </w:r>
    </w:p>
    <w:p>
      <w:r>
        <w:rPr>
          <w:b/>
          <w:sz w:val="19"/>
        </w:rPr>
        <w:t xml:space="preserve">Übertragbarkeit: </w:t>
      </w:r>
      <w:r>
        <w:rPr>
          <w:sz w:val="19"/>
        </w:rPr>
        <w:t>Deutschland und europäische Länder mit ähnlich strukturierten Gesundheitssystemen, NordICC-Daten direkt relevant für deutsches Screening-Design.</w:t>
      </w:r>
    </w:p>
    <w:p>
      <w:r>
        <w:rPr>
          <w:color w:val="5A7D3A"/>
          <w:sz w:val="18"/>
        </w:rPr>
        <w:t>https://pubmed.ncbi.nlm.nih.gov/42849474/</w:t>
      </w:r>
    </w:p>
    <w:p>
      <w:pPr>
        <w:pStyle w:val="Heading2"/>
      </w:pPr>
      <w:r>
        <w:t>Deep-Learning-Modell mit Genexpression sagt Lymphknoten-Makrometastasen in frühem Brustkrebs sicher voraus</w:t>
      </w:r>
    </w:p>
    <w:p>
      <w:r>
        <w:rPr>
          <w:i/>
          <w:color w:val="666666"/>
          <w:sz w:val="18"/>
        </w:rPr>
        <w:t>Zhang D et al.  ·  Clin Cancer Res  ·  08.10.2026  ·  PMID 42848433</w:t>
      </w:r>
    </w:p>
    <w:p>
      <w:r>
        <w:t>Schwedische prospektive Validierungsstudie entwickelt Deep-Learning-Modelle mit Genexpression und präoperativen klinischen Daten zur Vorhersage von Sentinellymphknoten-Makrometastasen (SLNM) bei 6.836 Patientinnen mit klinisch befallfreien Achselachsen.</w:t>
      </w:r>
    </w:p>
    <w:p>
      <w:r>
        <w:rPr>
          <w:b/>
        </w:rPr>
        <w:t xml:space="preserve">Ergebnis: </w:t>
      </w:r>
      <w:r>
        <w:t>Der Transformer-Ansatz zeigte überlegene Gene-Expression-Modellierung. Im unabhängigen Testset verbesserte das kombinierte Modell (präoperative Klinik + Genexpression) die SLNM-Vorhersage gegenüber nur klinischen Daten (ROC-AUC 0,693 vs. 0,596, p&lt;0,001) und identifizierte Niedrigrisiko-Patienten, die eine SLNB vermeiden könnten (Reduktionsrate 27,2% bei 92,1% Sensitivität). Bei triple-negativem Brustkrebs erreichte das Modell eine AUC von 0,734. Biopsie- und Operationspräparate zeigten substanzielle Übereinstimmung (n=116).</w:t>
      </w:r>
    </w:p>
    <w:p>
      <w:r>
        <w:rPr>
          <w:b/>
          <w:sz w:val="19"/>
        </w:rPr>
        <w:t xml:space="preserve">Übertragbarkeit: </w:t>
      </w:r>
      <w:r>
        <w:rPr>
          <w:sz w:val="19"/>
        </w:rPr>
        <w:t>Schweden, europäisches Registersystem, Datentypen sind international verfügbar.</w:t>
      </w:r>
    </w:p>
    <w:p>
      <w:r>
        <w:rPr>
          <w:color w:val="5A7D3A"/>
          <w:sz w:val="18"/>
        </w:rPr>
        <w:t>https://pubmed.ncbi.nlm.nih.gov/42848433/</w:t>
      </w:r>
    </w:p>
    <w:p>
      <w:pPr>
        <w:pStyle w:val="Heading2"/>
      </w:pPr>
      <w:r>
        <w:t>Krebserkrankungen mit unbekanntem Primärtumor werden seltener, Überleben verbessert sich langsam</w:t>
      </w:r>
    </w:p>
    <w:p>
      <w:r>
        <w:rPr>
          <w:i/>
          <w:color w:val="666666"/>
          <w:sz w:val="18"/>
        </w:rPr>
        <w:t>Zaun G et al.  ·  Dtsch Arztebl Int  ·  25.12.2026  ·  PMID 42845015</w:t>
      </w:r>
    </w:p>
    <w:p>
      <w:r>
        <w:t>Deutsche Bevölkerungsstudie aus dem Krebsregister Nordrhein-Westfalen analysiert Inzidenz- und Überlebenstrends bei Krebserkrankungen unbekannten Primärtumors (CUP) über 17 Jahre anhand von 21.085 validierten Fällen.</w:t>
      </w:r>
    </w:p>
    <w:p>
      <w:r>
        <w:rPr>
          <w:b/>
        </w:rPr>
        <w:t xml:space="preserve">Ergebnis: </w:t>
      </w:r>
      <w:r>
        <w:t>Altersstandardisierte Inzidenz fiel markant von 6,5 pro 100.000 Personenjahre (2007) auf 2,2 pro 100.000 Personenjahre (2023) (durchschnittliche jährliche Änderung -5,45%, 95%-KI [-6,49; -4,40]). Fünf-Jahres-Überleben stieg von 14,7% auf 21,8%. Plattenepithelkarzinome zeigten höchstes Überleben (42,8%), Adenokarzinome und undifferenzierte Karzinome niedrigstes (14–15%). Älteren Patienten hatten niedrigeres Überleben.</w:t>
      </w:r>
    </w:p>
    <w:p>
      <w:r>
        <w:rPr>
          <w:b/>
          <w:sz w:val="19"/>
        </w:rPr>
        <w:t xml:space="preserve">Übertragbarkeit: </w:t>
      </w:r>
      <w:r>
        <w:rPr>
          <w:sz w:val="19"/>
        </w:rPr>
        <w:t>Deutsche Daten aus bevölkerungsbasiertem Krebsregister, direkt auf deutsches Gesundheitswesen übertragbar.</w:t>
      </w:r>
    </w:p>
    <w:p>
      <w:r>
        <w:rPr>
          <w:color w:val="5A7D3A"/>
          <w:sz w:val="18"/>
        </w:rPr>
        <w:t>https://pubmed.ncbi.nlm.nih.gov/42845015/</w:t>
      </w:r>
    </w:p>
    <w:p>
      <w:pPr>
        <w:pStyle w:val="Heading1"/>
      </w:pPr>
      <w:r>
        <w:t>Aufgenommen am 12.10.2026</w:t>
      </w:r>
    </w:p>
    <w:p>
      <w:pPr>
        <w:pStyle w:val="Heading2"/>
      </w:pPr>
      <w:r>
        <w:t>Regelmäßige Nachsorge verbessert Overall Survival bei Nasopharynxkarzinom</w:t>
      </w:r>
    </w:p>
    <w:p>
      <w:r>
        <w:rPr>
          <w:i/>
          <w:color w:val="666666"/>
          <w:sz w:val="18"/>
        </w:rPr>
        <w:t>Wu CF et al.  ·  Radiother Oncol  ·  10.10.2026  ·  PMID 42858857</w:t>
      </w:r>
    </w:p>
    <w:p>
      <w:r>
        <w:t>Retrospektive Analyse von 8.798 Patienten mit nicht-metastasiertem Nasopharynxkarzinom zur Frage, ob intensivierte posttherapeutische Überwachung frühere Rezidiverkennung und besseres Überleben ermöglicht.</w:t>
      </w:r>
    </w:p>
    <w:p>
      <w:r>
        <w:rPr>
          <w:b/>
        </w:rPr>
        <w:t xml:space="preserve">Ergebnis: </w:t>
      </w:r>
      <w:r>
        <w:t>Mit ≥4 Arztbesuchen im 1. Jahr (regelmäßige Surveillance, n=4.078) gegenüber &lt;4 Besuchen (irregulär, n=4.720): medianes rezidivfreies Überleben 26,1 vs. 27,0 Monate, verbessertes Gesamtüberleben (HR 0,86; 95% KI 0,74–0,99; p=0,032). Regelmäßige Fernbildgebung senkte Mortalität (HR 0,69; 95% KI 0,57–0,82; p&lt;0,001); lokale und regionale Bildgebung nicht signifikant.</w:t>
      </w:r>
    </w:p>
    <w:p>
      <w:r>
        <w:rPr>
          <w:b/>
          <w:sz w:val="19"/>
        </w:rPr>
        <w:t xml:space="preserve">Übertragbarkeit: </w:t>
      </w:r>
      <w:r>
        <w:rPr>
          <w:sz w:val="19"/>
        </w:rPr>
        <w:t>China – hochvolumiges Zentrum; Methodik auf deutsche Strukturen übertragbar</w:t>
      </w:r>
    </w:p>
    <w:p>
      <w:r>
        <w:rPr>
          <w:color w:val="5A7D3A"/>
          <w:sz w:val="18"/>
        </w:rPr>
        <w:t>https://pubmed.ncbi.nlm.nih.gov/42858857/</w:t>
      </w:r>
    </w:p>
    <w:p>
      <w:pPr>
        <w:pStyle w:val="Heading2"/>
      </w:pPr>
      <w:r>
        <w:t>Machine-Learning-Methoden für fehlende Toxizitätsdaten bei Kopf-Hals-Krebspatienten</w:t>
      </w:r>
    </w:p>
    <w:p>
      <w:r>
        <w:rPr>
          <w:i/>
          <w:color w:val="666666"/>
          <w:sz w:val="18"/>
        </w:rPr>
        <w:t>van der Hoek L et al.  ·  Radiother Oncol  ·  10.10.2026  ·  PMID 42858855</w:t>
      </w:r>
    </w:p>
    <w:p>
      <w:r>
        <w:t>Niederländische Studie zur Bewertung von neun Imputationsmethoden (von einfach bis Deep Learning) für fehlende Werte in longitudinalen Toxizitätsdaten von 1.442 Patienten mit Kopf-Hals-Krebs unter Radiotherapie.</w:t>
      </w:r>
    </w:p>
    <w:p>
      <w:r>
        <w:rPr>
          <w:b/>
        </w:rPr>
        <w:t xml:space="preserve">Ergebnis: </w:t>
      </w:r>
      <w:r>
        <w:t>Einfache Imputationsmethoden schnitten deutlich schlechter ab als fortgeschrittene; Qualität verschlechterte sich, wenn Patienten &lt;50% der Messzeitpunkte hatten; Transformer-Modelle waren robuster gegen Rauschen; downstream Modelle zeigten vernachlässigbare Unterschiede außer bei einfachen Methoden. Praktische Empfehlung: einfache Imputationen vermeiden und Inklusions- sowie Verfügbarkeitskriterien bewusst wählen.</w:t>
      </w:r>
    </w:p>
    <w:p>
      <w:r>
        <w:rPr>
          <w:b/>
          <w:sz w:val="19"/>
        </w:rPr>
        <w:t xml:space="preserve">Übertragbarkeit: </w:t>
      </w:r>
      <w:r>
        <w:rPr>
          <w:sz w:val="19"/>
        </w:rPr>
        <w:t>Niederlande, deutschsprachige Methodik, europäische Dokumentationspflichten übertragbar</w:t>
      </w:r>
    </w:p>
    <w:p>
      <w:r>
        <w:rPr>
          <w:color w:val="5A7D3A"/>
          <w:sz w:val="18"/>
        </w:rPr>
        <w:t>https://pubmed.ncbi.nlm.nih.gov/42858855/</w:t>
      </w:r>
    </w:p>
    <w:p>
      <w:pPr>
        <w:pStyle w:val="Heading2"/>
      </w:pPr>
      <w:r>
        <w:t>Klinisch bedeutsame Schwellenwerte für Lebensqualitätsfragebogen bei Prostatakrebspatienten</w:t>
      </w:r>
    </w:p>
    <w:p>
      <w:r>
        <w:rPr>
          <w:i/>
          <w:color w:val="666666"/>
          <w:sz w:val="18"/>
        </w:rPr>
        <w:t>Vorbach SM et al.  ·  Radiother Oncol  ·  10.10.2026  ·  PMID 42858854</w:t>
      </w:r>
    </w:p>
    <w:p>
      <w:r>
        <w:t>Europäische Multicenterstudie zur Etablierung von Klinisch Bedeutsamen Schwellenwerten (Thresholds for Clinical Importance, TCI) für den EORTC QLQ-PR25, ein Lebensqualitätsinstrument bei Prostatakrebspatienten.</w:t>
      </w:r>
    </w:p>
    <w:p>
      <w:r>
        <w:rPr>
          <w:b/>
        </w:rPr>
        <w:t xml:space="preserve">Ergebnis: </w:t>
      </w:r>
      <w:r>
        <w:t>Für fünf der sechs Skalen ließen sich akzeptable bis exzellente ROC-Werte (AUC 0,74–0,90) mit Sensitivität 0,62–0,88 und Spezifität 0,48–0,98 etablieren; für die Sexualfunktion (AUC 0,48) gelang dies nicht. Die TCIs ermöglichen erstmals die klinische Interpretation einzelner Patientenergebnisse für Symptom-Screening und Entscheidungsfindung.</w:t>
      </w:r>
    </w:p>
    <w:p>
      <w:r>
        <w:rPr>
          <w:b/>
          <w:sz w:val="19"/>
        </w:rPr>
        <w:t xml:space="preserve">Übertragbarkeit: </w:t>
      </w:r>
      <w:r>
        <w:rPr>
          <w:sz w:val="19"/>
        </w:rPr>
        <w:t>Österreich, Niederlande, Spanien, Belgien, Deutschland – vergleichbare Gesundheitssysteme, europäische Fachdaten</w:t>
      </w:r>
    </w:p>
    <w:p>
      <w:r>
        <w:rPr>
          <w:color w:val="5A7D3A"/>
          <w:sz w:val="18"/>
        </w:rPr>
        <w:t>https://pubmed.ncbi.nlm.nih.gov/42858854/</w:t>
      </w:r>
    </w:p>
    <w:p>
      <w:pPr>
        <w:pStyle w:val="Heading2"/>
      </w:pPr>
      <w:r>
        <w:t>FRα-gezieltes Antikörper-Wirkstoff-Konjugat Sofetabart zeigt Aktivität bei fortgeschrittenem Ovarialkarzinom</w:t>
      </w:r>
    </w:p>
    <w:p>
      <w:r>
        <w:rPr>
          <w:i/>
          <w:color w:val="666666"/>
          <w:sz w:val="18"/>
        </w:rPr>
        <w:t>Ray-Coquard I et al.  ·  Ann Oncol  ·  08.10.2026  ·  PMID 42849725</w:t>
      </w:r>
    </w:p>
    <w:p>
      <w:r>
        <w:t>Multizentrische First-in-Human Phase-1-Studie mit 105 Patienten (überwiegend platinresistent) zu Sofetabart mipitecan (Sofe-M), einem neuen FRα-Antibody-Drug-Conjugate ohne Keratopathie-Risiko.</w:t>
      </w:r>
    </w:p>
    <w:p>
      <w:r>
        <w:rPr>
          <w:b/>
        </w:rPr>
        <w:t xml:space="preserve">Ergebnis: </w:t>
      </w:r>
      <w:r>
        <w:t>Objektive Ansprechrate 50,5% (95% KI 40,5–60,4), bei 3 mg/kg 58,8%; bei FRα &lt;75% 44,4%, bei FRα ≥75% 56,5%, nach vorherigem Mirvetuximab 57,9%; medianes progressionsfreies Überleben 8,1 Monate (95% KI 6,4–8,5). Häufigste Nebenwirkungen: Übelkeit (64,8%), Fatigue (56,2%), Anämie (47,6%). Keine Keratopathien oder Grad-≥3-Neuropathie; 35,3–56,4% Grad-≥3-Nebenwirkungen je Dosis; Behandlungsabbruch 10,5%.</w:t>
      </w:r>
    </w:p>
    <w:p>
      <w:r>
        <w:rPr>
          <w:b/>
          <w:sz w:val="19"/>
        </w:rPr>
        <w:t xml:space="preserve">Übertragbarkeit: </w:t>
      </w:r>
      <w:r>
        <w:rPr>
          <w:sz w:val="19"/>
        </w:rPr>
        <w:t>USA-Studie mit europäischen Zentren (Frankreich, Spanien, Italien); Übertragbarkeit auf AMNOG-Zulassungsprozess prüfbar</w:t>
      </w:r>
    </w:p>
    <w:p>
      <w:r>
        <w:rPr>
          <w:color w:val="5A7D3A"/>
          <w:sz w:val="18"/>
        </w:rPr>
        <w:t>https://pubmed.ncbi.nlm.nih.gov/42849725/</w:t>
      </w:r>
    </w:p>
    <w:p>
      <w:pPr>
        <w:pStyle w:val="Heading2"/>
      </w:pPr>
      <w:r>
        <w:t>Transfer-RNA-Dosierung kontrolliert Lineageplastizität und Therapieresistenz bei Prostatakarzinom</w:t>
      </w:r>
    </w:p>
    <w:p>
      <w:r>
        <w:rPr>
          <w:i/>
          <w:color w:val="666666"/>
          <w:sz w:val="18"/>
        </w:rPr>
        <w:t>Kim YS et al.  ·  Nature  ·  07.10.2026  ·  PMID 42844465</w:t>
      </w:r>
    </w:p>
    <w:p>
      <w:r>
        <w:t>Grundlagenarbeit zur Identifikation von tRNA1Arg(UCU) als Regulator der Lineageplastizität und Therapieresistenz im Prostatakarzinom mit Weg in die Klinik über Linearität und Androgenrezeptor-Sensitivität.</w:t>
      </w:r>
    </w:p>
    <w:p>
      <w:r>
        <w:rPr>
          <w:b/>
        </w:rPr>
        <w:t xml:space="preserve">Ergebnis: </w:t>
      </w:r>
      <w:r>
        <w:t>tRNA1Arg(UCU) ist herunterreguliert in neuroendokrinem Prostatakarzinom und assoziiert mit beschleunigter Metastasierung und schlechterer Prognose; Regulatoren TARDBP und ZSCAN29 kontrollieren tRNA-Expression; tRNA steuert Translationsprogramm mit SWI/SNF-Chromatin-Umbauerproteinen, die Lineage-Treue wahren; experimentelle Manipulation von tRNA1Arg(UCU) restauriert Androgenrezeptor-Sensitivität.</w:t>
      </w:r>
    </w:p>
    <w:p>
      <w:r>
        <w:rPr>
          <w:b/>
          <w:sz w:val="19"/>
        </w:rPr>
        <w:t xml:space="preserve">Übertragbarkeit: </w:t>
      </w:r>
      <w:r>
        <w:rPr>
          <w:sz w:val="19"/>
        </w:rPr>
        <w:t>USA-Grundlagenarbeit mit translationalem Ansatz zur Überwindung Androgenrezeptor-Inhibitor-Resistenz</w:t>
      </w:r>
    </w:p>
    <w:p>
      <w:r>
        <w:rPr>
          <w:color w:val="5A7D3A"/>
          <w:sz w:val="18"/>
        </w:rPr>
        <w:t>https://pubmed.ncbi.nlm.nih.gov/42844465/</w:t>
      </w:r>
    </w:p>
    <w:p>
      <w:pPr>
        <w:pStyle w:val="Heading2"/>
      </w:pPr>
      <w:r>
        <w:t>Globale Ungleichheit in Verfügbarkeit und Kostenübernahme von Nierenzellkarzinom-Therapien</w:t>
      </w:r>
    </w:p>
    <w:p>
      <w:r>
        <w:rPr>
          <w:i/>
          <w:color w:val="666666"/>
          <w:sz w:val="18"/>
        </w:rPr>
        <w:t>Urun Y et al.  ·  Oncologist  ·  06.10.2026  ·  PMID 42836687</w:t>
      </w:r>
    </w:p>
    <w:p>
      <w:r>
        <w:t>Internationale Querschnittsstudie von 144 Klinikern aus 58 Ländern zur Verfügbarkeit und Erstattung von 20 innovativen systemischen Therapien für Nierenzellkarzinom.</w:t>
      </w:r>
    </w:p>
    <w:p>
      <w:r>
        <w:rPr>
          <w:b/>
        </w:rPr>
        <w:t xml:space="preserve">Ergebnis: </w:t>
      </w:r>
      <w:r>
        <w:t>Nur 36% der Länder hatten mindestens 15 der 20 Therapien verfügbar; vollständige Erstattung für ≥15 Therapien in nur 6 Ländern (10%), für 1–9 Therapien in 13 Ländern (23%), keine Erstattung in 18 Ländern (31%). Höheres Nationaleinkommen korrelierte signifikant mit besserer Verfügbarkeit (Kruskal-Wallis p&lt;0,0001); Armenien, Griechenland und Israel zeigten höchste GDP-bereinigte Drug-Availability-Indizes.</w:t>
      </w:r>
    </w:p>
    <w:p>
      <w:r>
        <w:rPr>
          <w:b/>
          <w:sz w:val="19"/>
        </w:rPr>
        <w:t xml:space="preserve">Übertragbarkeit: </w:t>
      </w:r>
      <w:r>
        <w:rPr>
          <w:sz w:val="19"/>
        </w:rPr>
        <w:t>58 Länder weltweit; Transfer: Deutschland als mittleres Einkommsland mit hoher Verfügbarkeit</w:t>
      </w:r>
    </w:p>
    <w:p>
      <w:r>
        <w:rPr>
          <w:color w:val="5A7D3A"/>
          <w:sz w:val="18"/>
        </w:rPr>
        <w:t>https://pubmed.ncbi.nlm.nih.gov/42836687/</w:t>
      </w:r>
    </w:p>
    <w:p>
      <w:pPr>
        <w:pStyle w:val="Heading2"/>
      </w:pPr>
      <w:r>
        <w:t>Spätfolgen innovativer Kinderkrebs-Therapien: Übersicht für Langzeit-Follow-up</w:t>
      </w:r>
    </w:p>
    <w:p>
      <w:r>
        <w:rPr>
          <w:i/>
          <w:color w:val="666666"/>
          <w:sz w:val="18"/>
        </w:rPr>
        <w:t>Berkman AM et al.  ·  J Natl Cancer Inst  ·  06.10.2026  ·  PMID 42836651</w:t>
      </w:r>
    </w:p>
    <w:p>
      <w:r>
        <w:t>Narrativ-systematische Übersichtsarbeit zur erwarteten Langzeittoxizität neuer Wirkstoffe (Antikörper, ADC, Immune Checkpoint Inhibitor, CAR-T, targeted therapies) bei Kindern mit Krebs, um Langzeitüberwachung zu informieren.</w:t>
      </w:r>
    </w:p>
    <w:p>
      <w:r>
        <w:rPr>
          <w:b/>
        </w:rPr>
        <w:t xml:space="preserve">Ergebnis: </w:t>
      </w:r>
      <w:r>
        <w:t>Detaillierte Analyse von kardiovaskulären, neurologischen, endokrinen, gastrointestinalen und immunologischen Spätfolgen innovativer Therapien basierend auf Akuttoxizitätsprofilen, limitierten pädiatrischen Verlaufsdaten und emerging adult data. Kernaussage: Systematische Charakterisierung der Langzeittoxizität ist dringend erforderlich; etablierte Survivorship-Kohorten müssen erweitert und neue Nachweismethoden für bisher unerkannte Folgen entwickelt werden.</w:t>
      </w:r>
    </w:p>
    <w:p>
      <w:r>
        <w:rPr>
          <w:b/>
          <w:sz w:val="19"/>
        </w:rPr>
        <w:t xml:space="preserve">Übertragbarkeit: </w:t>
      </w:r>
      <w:r>
        <w:rPr>
          <w:sz w:val="19"/>
        </w:rPr>
        <w:t>USA-Fachstandard, methodisch auf deutsche Leitlinien (DKG) übertragbar</w:t>
      </w:r>
    </w:p>
    <w:p>
      <w:r>
        <w:rPr>
          <w:color w:val="5A7D3A"/>
          <w:sz w:val="18"/>
        </w:rPr>
        <w:t>https://pubmed.ncbi.nlm.nih.gov/42836651/</w:t>
      </w:r>
    </w:p>
    <w:p>
      <w:pPr>
        <w:pStyle w:val="Heading1"/>
      </w:pPr>
      <w:r>
        <w:t>Aufgenommen am 11.10.2026</w:t>
      </w:r>
    </w:p>
    <w:p>
      <w:pPr>
        <w:pStyle w:val="Heading2"/>
      </w:pPr>
      <w:r>
        <w:t>MRD-Negativität bei 0,01 % korreliert mit Overall Survival in akuter myeloischer Leukämie</w:t>
      </w:r>
    </w:p>
    <w:p>
      <w:r>
        <w:rPr>
          <w:i/>
          <w:color w:val="666666"/>
          <w:sz w:val="18"/>
        </w:rPr>
        <w:t>Paiva B et al.  ·  Leukemia  ·  08.10.2026  ·  PMID 42850349</w:t>
      </w:r>
    </w:p>
    <w:p>
      <w:r>
        <w:t>Die PETHEMA-Studie untersuchte an 2.623 AML-Patienten, ob Measurable Residual Disease (MRD) mittels Durchflusszytometrie ein prognostischer Marker für das Gesamtüberleben nach intensiver Therapie ist.</w:t>
      </w:r>
    </w:p>
    <w:p>
      <w:r>
        <w:rPr>
          <w:b/>
        </w:rPr>
        <w:t xml:space="preserve">Ergebnis: </w:t>
      </w:r>
      <w:r>
        <w:t>MRD-Negativität bei der 0,01%-Schwelle zeigte unabhängigen prognostischen Wert (globale Odds Ratio 1,23; 95%-KI 1,02–1,40; p &lt; 0,05). MRD-Nachweis bei ≥0,01–&lt;0,1 % assoziiert mit schlechterem Überleben. 68 % der CR-Patienten hatten MRD-Nachweis. Signifikanz variierte nach genetischem Risiko und Erhaltungstherapie.</w:t>
      </w:r>
    </w:p>
    <w:p>
      <w:r>
        <w:rPr>
          <w:b/>
          <w:sz w:val="19"/>
        </w:rPr>
        <w:t xml:space="preserve">Übertragbarkeit: </w:t>
      </w:r>
      <w:r>
        <w:rPr>
          <w:sz w:val="19"/>
        </w:rPr>
        <w:t>Spanische und portugiesische Kohorten, europäische Versorgungsstruktur, direkt auf deutsches Krebsregister-Setting übertragbar.</w:t>
      </w:r>
    </w:p>
    <w:p>
      <w:r>
        <w:rPr>
          <w:color w:val="5A7D3A"/>
          <w:sz w:val="18"/>
        </w:rPr>
        <w:t>https://pubmed.ncbi.nlm.nih.gov/42850349/</w:t>
      </w:r>
    </w:p>
    <w:p>
      <w:pPr>
        <w:pStyle w:val="Heading2"/>
      </w:pPr>
      <w:r>
        <w:t>Koloskopie-Screening reduziert kolorektales Krebssterben um 31 Prozent</w:t>
      </w:r>
    </w:p>
    <w:p>
      <w:r>
        <w:rPr>
          <w:i/>
          <w:color w:val="666666"/>
          <w:sz w:val="18"/>
        </w:rPr>
        <w:t>Brenner H et al.  ·  Lancet  ·  10.10.2026  ·  PMID 42849472</w:t>
      </w:r>
    </w:p>
    <w:p>
      <w:r>
        <w:t>Die NordICC-Studie untersuchte, ob gelegentliche Screening-Koloskopie bei Erwachsenen ab 55/60 Jahren die Sterblichkeit durch kolorektales Karzinom senkt.</w:t>
      </w:r>
    </w:p>
    <w:p>
      <w:r>
        <w:rPr>
          <w:b/>
        </w:rPr>
        <w:t xml:space="preserve">Ergebnis: </w:t>
      </w:r>
      <w:r>
        <w:t>Die Koloskopie reduzierte die krebsspezifische Mortalität um 31 % über 10 Jahre (relatives Risiko 0,69; 95%-KI 0,55–0,87). Die Zahl der Todesfälle pro 1.000 Screenings betrug 0,28. Incidenz sank um 21 %. Nebenwirkungen: schwerwiegende Blutungen &lt;0,1 %, Perforationen 0,7 pro 1.000.</w:t>
      </w:r>
    </w:p>
    <w:p>
      <w:r>
        <w:rPr>
          <w:b/>
          <w:sz w:val="19"/>
        </w:rPr>
        <w:t xml:space="preserve">Übertragbarkeit: </w:t>
      </w:r>
      <w:r>
        <w:rPr>
          <w:sz w:val="19"/>
        </w:rPr>
        <w:t>Europäischer Verbund (Skandinavien, Polen, Deutschland), publische Gesundheitssysteme mit ähnlicher Finanzierung wie Deutschland.</w:t>
      </w:r>
    </w:p>
    <w:p>
      <w:r>
        <w:rPr>
          <w:color w:val="5A7D3A"/>
          <w:sz w:val="18"/>
        </w:rPr>
        <w:t>https://pubmed.ncbi.nlm.nih.gov/42849472/</w:t>
      </w:r>
    </w:p>
    <w:p>
      <w:pPr>
        <w:pStyle w:val="Heading2"/>
      </w:pPr>
      <w:r>
        <w:t>BRCA2-Alteration vorhersagend für 12-Monate-Benefit unter PARP-Inhibitor Talazoparib</w:t>
      </w:r>
    </w:p>
    <w:p>
      <w:r>
        <w:rPr>
          <w:i/>
          <w:color w:val="666666"/>
          <w:sz w:val="18"/>
        </w:rPr>
        <w:t>Castro E et al.  ·  Eur J Cancer  ·  29.09.2026  ·  PMID 42849324</w:t>
      </w:r>
    </w:p>
    <w:p>
      <w:r>
        <w:t>Retrospektive Genomanalyse aus der Phase-2-Studie TALAPRO-1 zu Talazoparib-Monotherapie in 104 Patienten mit metastasiertem kastrationsresistentem Prostatakarzinom und HRR-Genalterationen.</w:t>
      </w:r>
    </w:p>
    <w:p>
      <w:r>
        <w:rPr>
          <w:b/>
        </w:rPr>
        <w:t xml:space="preserve">Ergebnis: </w:t>
      </w:r>
      <w:r>
        <w:t>94 % der Patienten mit radiographischem PFS ≥12 Monaten hatten BRCA2-Alterationen, vs. 22 % mit PFS &lt;2 Monaten (p &lt;0,00001). HRR-Gen-Reversionen (n=7) und PARP1-Varianten (n=5) zeigten emergente Resistenzmechanismen; beide prädiktiv für Therapieversagen nach initialem Ansprechen.</w:t>
      </w:r>
    </w:p>
    <w:p>
      <w:r>
        <w:rPr>
          <w:b/>
          <w:sz w:val="19"/>
        </w:rPr>
        <w:t xml:space="preserve">Übertragbarkeit: </w:t>
      </w:r>
      <w:r>
        <w:rPr>
          <w:sz w:val="19"/>
        </w:rPr>
        <w:t>US-amerikanische Studie, aber Genomik und BRCA2-Mutationen tumorunabhängig; Biomarker-Strategie auf deutsche Praxen übertragbar.</w:t>
      </w:r>
    </w:p>
    <w:p>
      <w:r>
        <w:rPr>
          <w:color w:val="5A7D3A"/>
          <w:sz w:val="18"/>
        </w:rPr>
        <w:t>https://pubmed.ncbi.nlm.nih.gov/42849324/</w:t>
      </w:r>
    </w:p>
    <w:p>
      <w:pPr>
        <w:pStyle w:val="Heading2"/>
      </w:pPr>
      <w:r>
        <w:t>Disitamab vedotin plus Tislelizumab: 73 % komplette Response bei nicht-resektablem high-grade Harnblasenkarzinom</w:t>
      </w:r>
    </w:p>
    <w:p>
      <w:r>
        <w:rPr>
          <w:i/>
          <w:color w:val="666666"/>
          <w:sz w:val="18"/>
        </w:rPr>
        <w:t>Qie Y et al.  ·  JAMA Oncol  ·  08.10.2026  ·  PMID 42848391</w:t>
      </w:r>
    </w:p>
    <w:p>
      <w:r>
        <w:t>Phase-2-Studie mit 28 Patienten zu resektionsunfähigem ERBB2-positiven high-risk nicht-Muskel-invasivem Blasenkarzinom unter Kombinationstherapie mit dem Antikörper-Wirkstoff-Konjugat Disitamab vedotin und dem PD-1-Inhibitor Tislelizumab.</w:t>
      </w:r>
    </w:p>
    <w:p>
      <w:r>
        <w:rPr>
          <w:b/>
        </w:rPr>
        <w:t xml:space="preserve">Ergebnis: </w:t>
      </w:r>
      <w:r>
        <w:t>Komplette Response der high-risk-Erkrankung in 19/26 Patienten (73,1 %; 95%-KI 54,8–91,3 %), über Zielrate von 70 % hinaus. 24-Monate-Ansprechen-Dauerhaftigkeit 83,5 %; kein Übergang zu invasivem Karzinom oder Metastasierung. Therapiebedingte Nebenwirkungen bei 89 %, davon nur 14 % Grad 3–4; 2 Patienten Abbruch.</w:t>
      </w:r>
    </w:p>
    <w:p>
      <w:r>
        <w:rPr>
          <w:b/>
          <w:sz w:val="19"/>
        </w:rPr>
        <w:t xml:space="preserve">Übertragbarkeit: </w:t>
      </w:r>
      <w:r>
        <w:rPr>
          <w:sz w:val="19"/>
        </w:rPr>
        <w:t>Chinesische Kliniken, aber ERBB2-Screening und -Klassifizierung international standardisiert; Ergebnis relevant für deutsche Zentren mit Blasen-Expertise.</w:t>
      </w:r>
    </w:p>
    <w:p>
      <w:r>
        <w:rPr>
          <w:color w:val="5A7D3A"/>
          <w:sz w:val="18"/>
        </w:rPr>
        <w:t>https://pubmed.ncbi.nlm.nih.gov/42848391/</w:t>
      </w:r>
    </w:p>
    <w:p>
      <w:pPr>
        <w:pStyle w:val="Heading2"/>
      </w:pPr>
      <w:r>
        <w:t>Universelle Keimbahntest-Screening: 18,4 % Pathogene Varianten in früh-onset Karzinomen, altersbasierte Limits übersehen 72 % aller Träger</w:t>
      </w:r>
    </w:p>
    <w:p>
      <w:r>
        <w:rPr>
          <w:i/>
          <w:color w:val="666666"/>
          <w:sz w:val="18"/>
        </w:rPr>
        <w:t>Stadler ZK et al.  ·  Cancer Discov  ·  08.10.2026  ·  PMID 42844684</w:t>
      </w:r>
    </w:p>
    <w:p>
      <w:r>
        <w:t>Keimbahnsequenzierung von 39.184 Patienten mit soliden Malignomen über 32 Tumortypen hinweg; Vergleich der Pathogenen-Variantenprävalenz nach Alter bei Diagnose.</w:t>
      </w:r>
    </w:p>
    <w:p>
      <w:r>
        <w:rPr>
          <w:b/>
        </w:rPr>
        <w:t xml:space="preserve">Ergebnis: </w:t>
      </w:r>
      <w:r>
        <w:t>Pathogene Varianten in 18,4 % der früh-onset, 15,6 % der durchschnittlich-onset und 12,3 % der spät-onset Fälle (p &lt;0,001). High-/Moderate-Penetranz-Gene: 12,4 % vs. 8,9 % vs. 5,1 %. Altersgrenze 50 Jahre übersieht 4.601 Träger (72 % aller detektierten Varianten). Universelles Screening empfohlen.</w:t>
      </w:r>
    </w:p>
    <w:p>
      <w:r>
        <w:rPr>
          <w:b/>
          <w:sz w:val="19"/>
        </w:rPr>
        <w:t xml:space="preserve">Übertragbarkeit: </w:t>
      </w:r>
      <w:r>
        <w:rPr>
          <w:sz w:val="19"/>
        </w:rPr>
        <w:t>USA-Studie, aber Genetik und Mutationsspektrum tumorunabhängig; Screening-Empfehlung relevant für deutsche AMNOG- und Leitlinien-Adaptationen.</w:t>
      </w:r>
    </w:p>
    <w:p>
      <w:r>
        <w:rPr>
          <w:color w:val="5A7D3A"/>
          <w:sz w:val="18"/>
        </w:rPr>
        <w:t>https://pubmed.ncbi.nlm.nih.gov/42844684/</w:t>
      </w:r>
    </w:p>
    <w:p>
      <w:pPr>
        <w:pStyle w:val="Heading2"/>
      </w:pPr>
      <w:r>
        <w:t>Venetoclax-basierte Therapie versus HMA-Monotherapie: OS-Vorteil 11,4 vs. 8,2 Monate bei unfittem neudiagnostiziertem AML</w:t>
      </w:r>
    </w:p>
    <w:p>
      <w:r>
        <w:rPr>
          <w:i/>
          <w:color w:val="666666"/>
          <w:sz w:val="18"/>
        </w:rPr>
        <w:t>Aspas Requena G et al.  ·  Leukemia  ·  06.10.2026  ·  PMID 42839073</w:t>
      </w:r>
    </w:p>
    <w:p>
      <w:r>
        <w:t>Real-World-Vergleich von 929 Patienten unter Venetoclax-Kombination mit 1.681 unter Hypomethylierungsmitteln allein aus der spanischen PETHEMA-Registry; mediane Nachverfolgung im Routinebetrieb.</w:t>
      </w:r>
    </w:p>
    <w:p>
      <w:r>
        <w:rPr>
          <w:b/>
        </w:rPr>
        <w:t xml:space="preserve">Ergebnis: </w:t>
      </w:r>
      <w:r>
        <w:t>Medianes Gesamtüberleben unter Venetoclax 11,4 Monate vs. 8,2 Monate (HR 0,66; 95%-KI 0,60–0,73; p &lt;0,001); konsistent mit VIALE-A-Trial (HR 0,66). Composite Complete Remission 64,4 % vs. 20,0 %; 30-Tage-Mortalität 4,8 % vs. 7,5 %. Benefit bei IDH2, NPM1, FLT3-ITD; minimal bei TP53-mutierten und MDS-evolved AML.</w:t>
      </w:r>
    </w:p>
    <w:p>
      <w:r>
        <w:rPr>
          <w:b/>
          <w:sz w:val="19"/>
        </w:rPr>
        <w:t xml:space="preserve">Übertragbarkeit: </w:t>
      </w:r>
      <w:r>
        <w:rPr>
          <w:sz w:val="19"/>
        </w:rPr>
        <w:t>Spanische und südamerikanische öffentliche Kliniken, europäische Dokumentationspflichten; direkter Vergleich zu deutschen AML-Zentren.</w:t>
      </w:r>
    </w:p>
    <w:p>
      <w:r>
        <w:rPr>
          <w:color w:val="5A7D3A"/>
          <w:sz w:val="18"/>
        </w:rPr>
        <w:t>https://pubmed.ncbi.nlm.nih.gov/42839073/</w:t>
      </w:r>
    </w:p>
    <w:p>
      <w:pPr>
        <w:pStyle w:val="Heading1"/>
      </w:pPr>
      <w:r>
        <w:t>Aufgenommen am 10.10.2026</w:t>
      </w:r>
    </w:p>
    <w:p>
      <w:pPr>
        <w:pStyle w:val="Heading2"/>
      </w:pPr>
      <w:r>
        <w:t>Digital Breast Tomosynthesis senkt Intervallkrebsrate um etwa 24 Prozent</w:t>
      </w:r>
    </w:p>
    <w:p>
      <w:r>
        <w:rPr>
          <w:i/>
          <w:color w:val="666666"/>
          <w:sz w:val="18"/>
        </w:rPr>
        <w:t>Weigel S et al.  ·  Lancet Oncol  ·  09.10.2026  ·  PMID 42854706</w:t>
      </w:r>
    </w:p>
    <w:p>
      <w:r>
        <w:t>Randomisierte Studie verglich Digital Breast Tomosynthesis plus synthetisierte Mammographie versus digitale Mammographie im Screening bei 99.558 Frauen (50-70 Jahre) in Deutschland mit 24 Monaten Nachverfolgung.</w:t>
      </w:r>
    </w:p>
    <w:p>
      <w:r>
        <w:rPr>
          <w:b/>
        </w:rPr>
        <w:t xml:space="preserve">Ergebnis: </w:t>
      </w:r>
      <w:r>
        <w:t>Invasive Intervallkrebsrate 14,2 pro 10.000 (DBT-Gruppe) versus 18,6 pro 10.000 (digitale Mammographie); OR 0,76 (95% KI 0,55-1,06; p=0,11). Bei 12 Monaten signifikant: 4,5 versus 6,3 pro 10.000 (OR 0,71; p&lt;0,05). Etwa ein Viertel der Intervallkrebse könnte vermieden werden.</w:t>
      </w:r>
    </w:p>
    <w:p>
      <w:r>
        <w:rPr>
          <w:b/>
          <w:sz w:val="19"/>
        </w:rPr>
        <w:t xml:space="preserve">Übertragbarkeit: </w:t>
      </w:r>
      <w:r>
        <w:rPr>
          <w:sz w:val="19"/>
        </w:rPr>
        <w:t>Deutsche Multicenterstudie, deutsche Gesundheitsdaten direkt übertragbar</w:t>
      </w:r>
    </w:p>
    <w:p>
      <w:r>
        <w:rPr>
          <w:color w:val="5A7D3A"/>
          <w:sz w:val="18"/>
        </w:rPr>
        <w:t>https://pubmed.ncbi.nlm.nih.gov/42854706/</w:t>
      </w:r>
    </w:p>
    <w:p>
      <w:pPr>
        <w:pStyle w:val="Heading2"/>
      </w:pPr>
      <w:r>
        <w:t>Toripalimab mit Chemotherapie bei B3-Thymom und Thymuskarziom: Progression-freies Überleben 19,3 Monate</w:t>
      </w:r>
    </w:p>
    <w:p>
      <w:r>
        <w:rPr>
          <w:i/>
          <w:color w:val="666666"/>
          <w:sz w:val="18"/>
        </w:rPr>
        <w:t>Zhu K et al.  ·  ESMO Open  ·  08.10.2026  ·  PMID 42854640</w:t>
      </w:r>
    </w:p>
    <w:p>
      <w:r>
        <w:t>Phase-II-Studie (24 Patienten mit nicht resezierbarem B3-Thymom oder Thymuskarziom) mit Paclitaxel, Carboplatin plus Toripalimab (PD-L1-Inhibitor) in bis zu 6 Zyklen, dann Toripalimab-Erhaltung bis Progression.</w:t>
      </w:r>
    </w:p>
    <w:p>
      <w:r>
        <w:rPr>
          <w:b/>
        </w:rPr>
        <w:t xml:space="preserve">Ergebnis: </w:t>
      </w:r>
      <w:r>
        <w:t>Medianes Progression-freies Überleben 19,3 Monate (95% KI 12,8-25,8). Objektive Ansprechrate 37,5% (KI 18,8-59,4%), komplette Krankheitskontrolle 100%. Grad 3-4 behandlungsbedingte Nebenwirkungen bei 50,0%; Grad ≥3 immunbedingte unerwünschte Ereignisse bei 4,2%. Höhere PD-L1-Expression und spezifische Tumor-Mikroumgebungsmuster assoziiert mit besserem Outcome.</w:t>
      </w:r>
    </w:p>
    <w:p>
      <w:r>
        <w:rPr>
          <w:b/>
          <w:sz w:val="19"/>
        </w:rPr>
        <w:t xml:space="preserve">Übertragbarkeit: </w:t>
      </w:r>
      <w:r>
        <w:rPr>
          <w:sz w:val="19"/>
        </w:rPr>
        <w:t>China; Phase-II-Daten erfordern randomisierte Bestätigung vor deutschem Einsatz</w:t>
      </w:r>
    </w:p>
    <w:p>
      <w:r>
        <w:rPr>
          <w:color w:val="5A7D3A"/>
          <w:sz w:val="18"/>
        </w:rPr>
        <w:t>https://pubmed.ncbi.nlm.nih.gov/42854640/</w:t>
      </w:r>
    </w:p>
    <w:p>
      <w:pPr>
        <w:pStyle w:val="Heading2"/>
      </w:pPr>
      <w:r>
        <w:t>Früherkennung von Bauchspeicheldrüsenkrebs – gleiche Überlebenschancen trotz fortgeschrittener Erkrankung</w:t>
      </w:r>
    </w:p>
    <w:p>
      <w:r>
        <w:rPr>
          <w:i/>
          <w:color w:val="666666"/>
          <w:sz w:val="18"/>
        </w:rPr>
        <w:t>Ruze R et al.  ·  J Natl Cancer Inst  ·  09.10.2026  ·  PMID 42853071</w:t>
      </w:r>
    </w:p>
    <w:p>
      <w:r>
        <w:t>Systematische Übersichtsarbeit und Metaanalyse von 48 Studien (1.659.432 Patienten, davon 695.936 ohne Überschneidung) verglich früh auftretenden Pankreaskrebs (EOPC) mit altersgruppenüblichem Krebs (AOPC).</w:t>
      </w:r>
    </w:p>
    <w:p>
      <w:r>
        <w:rPr>
          <w:b/>
        </w:rPr>
        <w:t xml:space="preserve">Ergebnis: </w:t>
      </w:r>
      <w:r>
        <w:t>EOPC-Patienten: niedrigere Diabetesrate (OR 0,39; 95% KI 0,21-0,72), fortgeschrittenere Erkrankung (Stadium IV: OR 1,18; KI 1,02-1,36), höhere Chemotherapienutzung (OR 2,04; KI 1,69-2,45; p&lt;0,001), aber vergleichbares Gesamtüberleben (HR 1,03; KI 0,86-1,23; p=0,76). Geringe Evidenzsicherheit für alle Outcomes.</w:t>
      </w:r>
    </w:p>
    <w:p>
      <w:r>
        <w:rPr>
          <w:b/>
          <w:sz w:val="19"/>
        </w:rPr>
        <w:t xml:space="preserve">Übertragbarkeit: </w:t>
      </w:r>
      <w:r>
        <w:rPr>
          <w:sz w:val="19"/>
        </w:rPr>
        <w:t>Internationale Metaanalyse; zeigt Ansatz für gleichberechtigten Zugang zu intensiver Therapie bei frühem Alter</w:t>
      </w:r>
    </w:p>
    <w:p>
      <w:r>
        <w:rPr>
          <w:color w:val="5A7D3A"/>
          <w:sz w:val="18"/>
        </w:rPr>
        <w:t>https://pubmed.ncbi.nlm.nih.gov/42853071/</w:t>
      </w:r>
    </w:p>
    <w:p>
      <w:pPr>
        <w:pStyle w:val="Heading2"/>
      </w:pPr>
      <w:r>
        <w:t>HER2-positive Brustkrebs: Trastuzumab Deruxtecan verschiebt Behandlungsparadigmen in frühere Linien</w:t>
      </w:r>
    </w:p>
    <w:p>
      <w:r>
        <w:rPr>
          <w:i/>
          <w:color w:val="666666"/>
          <w:sz w:val="18"/>
        </w:rPr>
        <w:t>Tarantino P et al.  ·  Nat Rev Clin Oncol  ·  08.10.2026  ·  PMID 42850399</w:t>
      </w:r>
    </w:p>
    <w:p>
      <w:r>
        <w:t>Narrative Übersichtsarbeit zur Therapieevolution bei HER2-positivem Brustkrebs, einschließlich Neoadjuvanz, Adjuvanz und metastasierter Erkrankung mit Fokus auf Sequenzierung und Risikorisiko-Stratifizierung.</w:t>
      </w:r>
    </w:p>
    <w:p>
      <w:r>
        <w:rPr>
          <w:b/>
        </w:rPr>
        <w:t xml:space="preserve">Ergebnis: </w:t>
      </w:r>
      <w:r>
        <w:t>Trastuzumab Deruxtecan als Antibody-Drug-Conjugate verbessert Outcomes und wird zunehmend in frühere Behandlungslinien verschoben. Zentrale Herausforderung: Identifikation optimaler Sequenzierung, Retreatment-Strategien und Patienten für Therapieintensivierung. Tissue-, Plasma- und bildgebungsbasierte Biomarker beginnend, vielversprechendes klinisches Implementierungspotenzial für Risikoadaptation und De-Eskalation.</w:t>
      </w:r>
    </w:p>
    <w:p>
      <w:r>
        <w:rPr>
          <w:b/>
          <w:sz w:val="19"/>
        </w:rPr>
        <w:t xml:space="preserve">Übertragbarkeit: </w:t>
      </w:r>
      <w:r>
        <w:rPr>
          <w:sz w:val="19"/>
        </w:rPr>
        <w:t>Internationale Expertenübersicht; medizinische Evidenzbasis für deutsches Gesundheitssystem übertragbar</w:t>
      </w:r>
    </w:p>
    <w:p>
      <w:r>
        <w:rPr>
          <w:color w:val="5A7D3A"/>
          <w:sz w:val="18"/>
        </w:rPr>
        <w:t>https://pubmed.ncbi.nlm.nih.gov/42850399/</w:t>
      </w:r>
    </w:p>
    <w:p>
      <w:pPr>
        <w:pStyle w:val="Heading2"/>
      </w:pPr>
      <w:r>
        <w:t>Mehr Chemotherapiezyklen in Radiochemotherapie verlängern Gesamtüberleben ohne mehr Toxizität</w:t>
      </w:r>
    </w:p>
    <w:p>
      <w:r>
        <w:rPr>
          <w:i/>
          <w:color w:val="666666"/>
          <w:sz w:val="18"/>
        </w:rPr>
        <w:t>Simbirova A et al.  ·  Strahlenther Onkol  ·  08.10.2026  ·  PMID 42850392</w:t>
      </w:r>
    </w:p>
    <w:p>
      <w:r>
        <w:t>Retrospektive Analyse von 90 Patienten mit lokal fortgeschrittenem NSCLC (Stadium IIB-IIIC) unter definitiver Radiochemotherapie (56-66 Gy mit wöchentlichem Carboplatin/Paclitaxel), 50 mit nachfolgender Durvalumab-Konsolidierung.</w:t>
      </w:r>
    </w:p>
    <w:p>
      <w:r>
        <w:rPr>
          <w:b/>
        </w:rPr>
        <w:t xml:space="preserve">Ergebnis: </w:t>
      </w:r>
      <w:r>
        <w:t>Patienten mit 5-7 Chemotherapiezyklen: signifikant längeres OS als 1-4 Zyklen (p=0,048); Hazard Ratio 0,75 pro zusätzlichem Zyklus (p=0,017). Keine signifikante Steigerung früher oder später Grad-≥2-Toxizität. Frühe Grad-≥2-Anämie (27,8%) assoziiert mit schlechterer Prognose (p=0,006).</w:t>
      </w:r>
    </w:p>
    <w:p>
      <w:r>
        <w:rPr>
          <w:b/>
          <w:sz w:val="19"/>
        </w:rPr>
        <w:t xml:space="preserve">Übertragbarkeit: </w:t>
      </w:r>
      <w:r>
        <w:rPr>
          <w:sz w:val="19"/>
        </w:rPr>
        <w:t>Deutsche Universitätsklinik Dresden, vergleichbare Behandlungsstandards</w:t>
      </w:r>
    </w:p>
    <w:p>
      <w:r>
        <w:rPr>
          <w:color w:val="5A7D3A"/>
          <w:sz w:val="18"/>
        </w:rPr>
        <w:t>https://pubmed.ncbi.nlm.nih.gov/42850392/</w:t>
      </w:r>
    </w:p>
    <w:p>
      <w:pPr>
        <w:pStyle w:val="Heading1"/>
      </w:pPr>
      <w:r>
        <w:t>Aufgenommen am 09.10.2026</w:t>
      </w:r>
    </w:p>
    <w:p>
      <w:pPr>
        <w:pStyle w:val="Heading2"/>
      </w:pPr>
      <w:r>
        <w:t>Sozioökonomischer Status und Kognition nach Kinderhirntumor: schwedische Kohortenstudie</w:t>
      </w:r>
    </w:p>
    <w:p>
      <w:r>
        <w:rPr>
          <w:i/>
          <w:color w:val="666666"/>
          <w:sz w:val="18"/>
        </w:rPr>
        <w:t>Beamish J et al.  ·  Neuro Oncol  ·  08.10.2026  ·  PMID 42848686</w:t>
      </w:r>
    </w:p>
    <w:p>
      <w:r>
        <w:t>Bevölkerungsbasierte Registry-Studie mit 461 schwedischen Kindern (Diagnose 2008-2023) zu Zusammenhang zwischen Sozioökonomischem Status (Elternbildung, Einkommen, Beruf) und neurokognitiven Ergebnissen bis 5 Jahre post-diagnose.</w:t>
      </w:r>
    </w:p>
    <w:p>
      <w:r>
        <w:rPr>
          <w:b/>
        </w:rPr>
        <w:t xml:space="preserve">Ergebnis: </w:t>
      </w:r>
      <w:r>
        <w:t>Höherer SES assoziiert mit besseren z-Scores bei Verarbeitungsgeschwindigkeit (+0,23), Arbeitsgedächtnis (+0,25), nonverbalem Reasoning (+0,29) und Gesamtkognition (+0,42). Längere Zeit seit Diagnose mit Rückgang Verarbeitungsgeschwindigkeit und verbalem Reasoning. Keine Interaktion zwischen SES und Abnahmeraten, was auf reduzierte kognitive Reserve statt erhöhte Treatment-Toxizität hinweist.</w:t>
      </w:r>
    </w:p>
    <w:p>
      <w:r>
        <w:rPr>
          <w:b/>
          <w:sz w:val="19"/>
        </w:rPr>
        <w:t xml:space="preserve">Übertragbarkeit: </w:t>
      </w:r>
      <w:r>
        <w:rPr>
          <w:sz w:val="19"/>
        </w:rPr>
        <w:t>Schwedisches universales Gesundheitssystem, vergleichbar mit deutschem System und Survivalship-Dateninfrastruktur.</w:t>
      </w:r>
    </w:p>
    <w:p>
      <w:r>
        <w:rPr>
          <w:color w:val="5A7D3A"/>
          <w:sz w:val="18"/>
        </w:rPr>
        <w:t>https://pubmed.ncbi.nlm.nih.gov/42848686/</w:t>
      </w:r>
    </w:p>
    <w:p>
      <w:pPr>
        <w:pStyle w:val="Heading2"/>
      </w:pPr>
      <w:r>
        <w:t>Brain-Metastasis-Risikokalkulator für frühen Brustkrebs validiert</w:t>
      </w:r>
    </w:p>
    <w:p>
      <w:r>
        <w:rPr>
          <w:i/>
          <w:color w:val="666666"/>
          <w:sz w:val="18"/>
        </w:rPr>
        <w:t>Raghavendra AS et al.  ·  J Natl Cancer Inst  ·  08.10.2026  ·  PMID 42848614</w:t>
      </w:r>
    </w:p>
    <w:p>
      <w:r>
        <w:t>Entwicklung und Validierung eines klinischen Vorhersagemodells (BrMR) für Hirnmetastasen-Risiko bei Stadium-I-III-Brustkrebs basierend auf 40.282 Trainings- und 1.644 Validierungspatienten.</w:t>
      </w:r>
    </w:p>
    <w:p>
      <w:r>
        <w:rPr>
          <w:b/>
        </w:rPr>
        <w:t xml:space="preserve">Ergebnis: </w:t>
      </w:r>
      <w:r>
        <w:t>C-Index 0,79 (Training), 0,76 (Validierung); AUROC 0,81/0,79/0,76/0,75 nach 4/6/8/10 Jahren. HER2-Positivität, hohes Ki-67, inflammatorischer Typ und höherer T/N-Status erhöhten Risiko; ER/PR-Positivität, höheres Alter und endokrine Therapie senkten es.</w:t>
      </w:r>
    </w:p>
    <w:p>
      <w:r>
        <w:rPr>
          <w:b/>
          <w:sz w:val="19"/>
        </w:rPr>
        <w:t xml:space="preserve">Übertragbarkeit: </w:t>
      </w:r>
      <w:r>
        <w:rPr>
          <w:sz w:val="19"/>
        </w:rPr>
        <w:t>Validiert in Belgien (Institut Jules Bordet), Datengrundlage für deutsches System adaptierbar.</w:t>
      </w:r>
    </w:p>
    <w:p>
      <w:r>
        <w:rPr>
          <w:color w:val="5A7D3A"/>
          <w:sz w:val="18"/>
        </w:rPr>
        <w:t>https://pubmed.ncbi.nlm.nih.gov/42848614/</w:t>
      </w:r>
    </w:p>
    <w:p>
      <w:pPr>
        <w:pStyle w:val="Heading2"/>
      </w:pPr>
      <w:r>
        <w:t>Preinvasive regulatorische T-Zellen bei Lungenkrebsentstehung: Interventionsziel</w:t>
      </w:r>
    </w:p>
    <w:p>
      <w:r>
        <w:rPr>
          <w:i/>
          <w:color w:val="666666"/>
          <w:sz w:val="18"/>
        </w:rPr>
        <w:t>Gamble S et al.  ·  Nature  ·  07.10.2026  ·  PMID 42844481</w:t>
      </w:r>
    </w:p>
    <w:p>
      <w:r>
        <w:t>Multi-omische Studie mit Bronchoskopie und CT-Bildgebung an Patienten mit preinvasiven Lungenschleimhaut-Läsionen: Identifikation von effektiven regulatorischen CD4+-T-Zellen (eTreg, BATF+) als Frühmarker und therapeutisches Ziel.</w:t>
      </w:r>
    </w:p>
    <w:p>
      <w:r>
        <w:rPr>
          <w:b/>
        </w:rPr>
        <w:t xml:space="preserve">Ergebnis: </w:t>
      </w:r>
      <w:r>
        <w:t>eTreg-Zellen reicherten sich in hochgradigen Läsionen an und korrelierten mit zirkulierenden eTreg-Zellen. Bei Mäusen reduzierte PI3Kδ-Inhibition eTreg-reiche tertiäre lymphoide Strukturen (iTLS), senkte Lungentumoranzahl und -größe. Circulating eTreg-Zellen ermöglichten nicht-invasive Verfolgung der Tumorprogression. eTreg-Achse gekennzeichnet schnelle Progression in frühem NSCLC (CT-Screening).</w:t>
      </w:r>
    </w:p>
    <w:p>
      <w:r>
        <w:rPr>
          <w:b/>
          <w:sz w:val="19"/>
        </w:rPr>
        <w:t xml:space="preserve">Übertragbarkeit: </w:t>
      </w:r>
      <w:r>
        <w:rPr>
          <w:sz w:val="19"/>
        </w:rPr>
        <w:t>UK-Studie (UCL), Mechanismus und Biomarker übertragbar; klinische Anwendung erfordert deutsche Validierung.</w:t>
      </w:r>
    </w:p>
    <w:p>
      <w:r>
        <w:rPr>
          <w:color w:val="5A7D3A"/>
          <w:sz w:val="18"/>
        </w:rPr>
        <w:t>https://pubmed.ncbi.nlm.nih.gov/42844481/</w:t>
      </w:r>
    </w:p>
    <w:p>
      <w:pPr>
        <w:pStyle w:val="Heading2"/>
      </w:pPr>
      <w:r>
        <w:t>Single-Item-Maße für wahrgenommene Therapienebenwirkungen: Scoping Review</w:t>
      </w:r>
    </w:p>
    <w:p>
      <w:r>
        <w:rPr>
          <w:i/>
          <w:color w:val="666666"/>
          <w:sz w:val="18"/>
        </w:rPr>
        <w:t>Jones T et al.  ·  Eur J Cancer  ·  04.10.2026  ·  PMID 42843209</w:t>
      </w:r>
    </w:p>
    <w:p>
      <w:r>
        <w:t>Systematische Analyse zu Einsatz, psychometrischen Eigenschaften und Validität von Single-Item-Fragebögen (EORTC Q168, FACIT GP5) für Treatment-Related Symptom Burden in Krebsstudien.</w:t>
      </w:r>
    </w:p>
    <w:p>
      <w:r>
        <w:rPr>
          <w:b/>
        </w:rPr>
        <w:t xml:space="preserve">Ergebnis: </w:t>
      </w:r>
      <w:r>
        <w:t>67 publizierte Studien und 74 klinische Trials eingeschlossen. FACIT GP5 breiter eingesetzt über Tumortypen (n=27 psychometrische Studien), EORTC Q168 konzentriert auf Pankreas- und Gallenblasenkrebs (n=2). Nachweise für Validität, Reliabilität, Responsiveness, aber konzeptionelle Limitationen bleiben (Symptomzuordnung zu Therapie vs. Erkrankung unklar).</w:t>
      </w:r>
    </w:p>
    <w:p>
      <w:r>
        <w:rPr>
          <w:b/>
          <w:sz w:val="19"/>
        </w:rPr>
        <w:t xml:space="preserve">Übertragbarkeit: </w:t>
      </w:r>
      <w:r>
        <w:rPr>
          <w:sz w:val="19"/>
        </w:rPr>
        <w:t>Europäische Autorengruppe (EORTC), auf deutsche Studien und Zentrenprotokolle direkt anwendbar.</w:t>
      </w:r>
    </w:p>
    <w:p>
      <w:r>
        <w:rPr>
          <w:color w:val="5A7D3A"/>
          <w:sz w:val="18"/>
        </w:rPr>
        <w:t>https://pubmed.ncbi.nlm.nih.gov/42843209/</w:t>
      </w:r>
    </w:p>
    <w:p>
      <w:pPr>
        <w:pStyle w:val="Heading2"/>
      </w:pPr>
      <w:r>
        <w:t>Metastase-gerichtete Ablation im Frühstadium bringt keinen OS-Gewinn bei oligometastasiertem Brustkrebs</w:t>
      </w:r>
    </w:p>
    <w:p>
      <w:r>
        <w:rPr>
          <w:i/>
          <w:color w:val="666666"/>
          <w:sz w:val="18"/>
        </w:rPr>
        <w:t>Chmura SJ et al.  ·  J Clin Oncol  ·  07.10.2026  ·  PMID 42842849</w:t>
      </w:r>
    </w:p>
    <w:p>
      <w:r>
        <w:t>Randomisierte Phase-II/III-Studie (NRG-BR002) mit 125 Patienten (≤4 Metastasen, ≤12 Monate erste systemische Therapie): Metastase-gerichtete Ablation (SBRT/Chirurgie) + Systemtherapie versus nur Systemtherapie als Kontroll.</w:t>
      </w:r>
    </w:p>
    <w:p>
      <w:r>
        <w:rPr>
          <w:b/>
        </w:rPr>
        <w:t xml:space="preserve">Ergebnis: </w:t>
      </w:r>
      <w:r>
        <w:t>Medianes progressionsfreies Überleben: 19,5 Monate (Ablation) vs. 23,0 Monate (nur Systemtherapie); HR 0,92 (70%-KI 0,71-1,17, einseitig p=0,36). Studie schritt nicht zu Phase III vor. OS kein signifikanter Unterschied (HR 1,07, p=0,41). Explorative Analyse: möglicher Vorteil bei niedrigen/fehlenden CTCs. Keine Grade-5-Toxizitäten.</w:t>
      </w:r>
    </w:p>
    <w:p>
      <w:r>
        <w:rPr>
          <w:b/>
          <w:sz w:val="19"/>
        </w:rPr>
        <w:t xml:space="preserve">Übertragbarkeit: </w:t>
      </w:r>
      <w:r>
        <w:rPr>
          <w:sz w:val="19"/>
        </w:rPr>
        <w:t>Nordamerikanische multizentrische RCT (USA/Kanada), Patientenpopulation und Endpoints für deutsches System relevant.</w:t>
      </w:r>
    </w:p>
    <w:p>
      <w:r>
        <w:rPr>
          <w:color w:val="5A7D3A"/>
          <w:sz w:val="18"/>
        </w:rPr>
        <w:t>https://pubmed.ncbi.nlm.nih.gov/42842849/</w:t>
      </w:r>
    </w:p>
    <w:p>
      <w:pPr>
        <w:pStyle w:val="Heading2"/>
      </w:pPr>
      <w:r>
        <w:t>Adjuvante Radiotherapie reduziert Rezidive bei atypischen Meningiomen um 46 %</w:t>
      </w:r>
    </w:p>
    <w:p>
      <w:r>
        <w:rPr>
          <w:i/>
          <w:color w:val="666666"/>
          <w:sz w:val="18"/>
        </w:rPr>
        <w:t>Jenkinson MD et al.  ·  Lancet  ·  10.10.2026  ·  PMID 42790456</w:t>
      </w:r>
    </w:p>
    <w:p>
      <w:r>
        <w:t>Randomisierte Phase-3-Studie (ROAM/EORTC-1308) an 157 Patienten mit WHO-Grad-2-Meningiom nach kompletter Resektion: Radiotherapie (60 Gy/30 Fraktionen) versus Beobachtung.</w:t>
      </w:r>
    </w:p>
    <w:p>
      <w:r>
        <w:rPr>
          <w:b/>
        </w:rPr>
        <w:t xml:space="preserve">Ergebnis: </w:t>
      </w:r>
      <w:r>
        <w:t>5-Jahres-rezidivfreies Überleben: 79,9 % (Radiotherapie) vs. 64,3 % (Beobachtung); Hazard Ratio 0,51 (p=0,0396). Grad-2/3-Nebenwirkungen in 8 % der bestrahlten Patienten, keine Todesfälle durch Strahlung. Rezidive traten bei 14 % vs. 30 % auf.</w:t>
      </w:r>
    </w:p>
    <w:p>
      <w:r>
        <w:rPr>
          <w:b/>
          <w:sz w:val="19"/>
        </w:rPr>
        <w:t xml:space="preserve">Übertragbarkeit: </w:t>
      </w:r>
      <w:r>
        <w:rPr>
          <w:sz w:val="19"/>
        </w:rPr>
        <w:t>Europäische multizentrische RCT (11 Länder), übertragbar auf deutsches Versorgungssystem und Zertifizierungsstandards.</w:t>
      </w:r>
    </w:p>
    <w:p>
      <w:r>
        <w:rPr>
          <w:color w:val="5A7D3A"/>
          <w:sz w:val="18"/>
        </w:rPr>
        <w:t>https://pubmed.ncbi.nlm.nih.gov/42790456/</w:t>
      </w:r>
    </w:p>
    <w:p>
      <w:pPr>
        <w:pStyle w:val="Heading1"/>
      </w:pPr>
      <w:r>
        <w:t>Aufgenommen am 08.10.2026</w:t>
      </w:r>
    </w:p>
    <w:p>
      <w:pPr>
        <w:pStyle w:val="Heading2"/>
      </w:pPr>
      <w:r>
        <w:t>ctDNA-Dynamik nach Resektion bestimmt Therapie-Strategien beim Kolorektalkarzinom</w:t>
      </w:r>
    </w:p>
    <w:p>
      <w:r>
        <w:rPr>
          <w:i/>
          <w:color w:val="666666"/>
          <w:sz w:val="18"/>
        </w:rPr>
        <w:t>Nakamura Y et al.  ·  Ann Oncol  ·  07.10.2026  ·  PMID 42843562</w:t>
      </w:r>
    </w:p>
    <w:p>
      <w:r>
        <w:t>Prospektive Biomarker-Studie (CIRCULATE-Japan) zur postoperativen zirkulären Tumor-DNA-Dynamik und Eligibilität für MRD-gesteuerte Therapie bei Kolorektalkarzinom; insgesamt 402 Patienten eingeschlossen.</w:t>
      </w:r>
    </w:p>
    <w:p>
      <w:r>
        <w:rPr>
          <w:b/>
        </w:rPr>
        <w:t xml:space="preserve">Ergebnis: </w:t>
      </w:r>
      <w:r>
        <w:t>Postoperative ctDNA-Muster bei 402 Patienten erfasst; Details zu ctDNA-Clearance, Persistenz und Zusammenhang mit TOMR-Eligibilität für adaptive Therapiesteuerung angekündigt. Studie abgeschlossen mit vollständigem Datensatz; Primäranalyse präsentiert mit Fokus auf MRD-gelenkte Behandlungsansätze.</w:t>
      </w:r>
    </w:p>
    <w:p>
      <w:r>
        <w:rPr>
          <w:b/>
          <w:sz w:val="19"/>
        </w:rPr>
        <w:t xml:space="preserve">Übertragbarkeit: </w:t>
      </w:r>
      <w:r>
        <w:rPr>
          <w:sz w:val="19"/>
        </w:rPr>
        <w:t>Japan, Gesundheitssystem mit ähnlichen Dokumentations- und Qualitätsstandards wie Deutschland</w:t>
      </w:r>
    </w:p>
    <w:p>
      <w:r>
        <w:rPr>
          <w:color w:val="5A7D3A"/>
          <w:sz w:val="18"/>
        </w:rPr>
        <w:t>https://pubmed.ncbi.nlm.nih.gov/42843562/</w:t>
      </w:r>
    </w:p>
    <w:p>
      <w:pPr>
        <w:pStyle w:val="Heading2"/>
      </w:pPr>
      <w:r>
        <w:t>Neoadjuvantes Niraparib ermöglicht R0-Resektion bei HRD-positivem Ovarialkarzinom</w:t>
      </w:r>
    </w:p>
    <w:p>
      <w:r>
        <w:rPr>
          <w:i/>
          <w:color w:val="666666"/>
          <w:sz w:val="18"/>
        </w:rPr>
        <w:t>Liu D et al.  ·  Lancet Oncol  ·  07.10.2026  ·  PMID 42843394</w:t>
      </w:r>
    </w:p>
    <w:p>
      <w:r>
        <w:t>Phase-2-Studie zu Niraparib-Monotherapie ohne Chemotherapie bei HRD-positiven, initial inoperablen Ovarialkarzinom-Patientinnen mit hohem chirurgischem Risiko.</w:t>
      </w:r>
    </w:p>
    <w:p>
      <w:r>
        <w:rPr>
          <w:b/>
        </w:rPr>
        <w:t xml:space="preserve">Ergebnis: </w:t>
      </w:r>
      <w:r>
        <w:t>Unter 67 Patientinnen: objektive Ansprechrate 63% (95%-KI 47–76), R0-Resektionsrate 80% (95%-KI 64–91). Häufigste Grad-3/4-Nebenwirkungen waren Thrombozytopenie (48%), Leukopenie (19%), Anämie (18%); 28% hatten ernsthafte Nebenwirkungen, keine Todesfälle durch Behandlung. Strategie bleibt investigativ und benötigt randomisierte Validierung gegen Standard-Chemotherapie.</w:t>
      </w:r>
    </w:p>
    <w:p>
      <w:r>
        <w:rPr>
          <w:b/>
          <w:sz w:val="19"/>
        </w:rPr>
        <w:t xml:space="preserve">Übertragbarkeit: </w:t>
      </w:r>
      <w:r>
        <w:rPr>
          <w:sz w:val="19"/>
        </w:rPr>
        <w:t>China, ähnliche Dokumentationsstandards; Datenschnitt mit 37,7 Monaten Follow-up verfügbar</w:t>
      </w:r>
    </w:p>
    <w:p>
      <w:r>
        <w:rPr>
          <w:color w:val="5A7D3A"/>
          <w:sz w:val="18"/>
        </w:rPr>
        <w:t>https://pubmed.ncbi.nlm.nih.gov/42843394/</w:t>
      </w:r>
    </w:p>
    <w:p>
      <w:pPr>
        <w:pStyle w:val="Heading2"/>
      </w:pPr>
      <w:r>
        <w:t>Exom-Sequenzierung identifiziert erbliche Krebsrisiken bei Kindern mit Hochrisiko-Tumoren</w:t>
      </w:r>
    </w:p>
    <w:p>
      <w:r>
        <w:rPr>
          <w:i/>
          <w:color w:val="666666"/>
          <w:sz w:val="18"/>
        </w:rPr>
        <w:t>Adamde Beaumais T et al.  ·  Eur J Cancer  ·  04.10.2026  ·  PMID 42843210</w:t>
      </w:r>
    </w:p>
    <w:p>
      <w:r>
        <w:t>Systematische Keimbahnanalyse aus therapeutischem Profiling (MAPPYACTS-Studie) bei 674 Kindern mit rezidivierenden/refraktären Malignomen zur Identifikation actionabler genetischer Befunde.</w:t>
      </w:r>
    </w:p>
    <w:p>
      <w:r>
        <w:rPr>
          <w:b/>
        </w:rPr>
        <w:t xml:space="preserve">Ergebnis: </w:t>
      </w:r>
      <w:r>
        <w:t>19,3% der Patienten (130/674) trugen pathogene/wahrscheinlich pathogene Varianten in 53 Krebs-Prädispositionsgenen; 8,6% (58) benötigten genetische Beratung. Häufigste Gene: TP53 (n=17), DICER1 (n=5), BRCA1 (n=4). 35% der Befunde waren nicht vorher bekannt. Zusätzlich 10 Patienten (1,5%) mit actionablen Varianten in Nicht-Krebs-Genen (Kardiomyopathien, familiäre Hyperholesterinämie). 98,6% der Familien stimmten Offenlegung zu.</w:t>
      </w:r>
    </w:p>
    <w:p>
      <w:r>
        <w:rPr>
          <w:b/>
          <w:sz w:val="19"/>
        </w:rPr>
        <w:t xml:space="preserve">Übertragbarkeit: </w:t>
      </w:r>
      <w:r>
        <w:rPr>
          <w:sz w:val="19"/>
        </w:rPr>
        <w:t>Frankreich; multidisziplinärer Rahmen übertragbar auf deutsche Zentren mit genetischer Beratung</w:t>
      </w:r>
    </w:p>
    <w:p>
      <w:r>
        <w:rPr>
          <w:color w:val="5A7D3A"/>
          <w:sz w:val="18"/>
        </w:rPr>
        <w:t>https://pubmed.ncbi.nlm.nih.gov/42843210/</w:t>
      </w:r>
    </w:p>
    <w:p>
      <w:pPr>
        <w:pStyle w:val="Heading2"/>
      </w:pPr>
      <w:r>
        <w:t>Screening-Intervalle für Mundhöhlenkrebs können auf zehn Jahre verlängert werden</w:t>
      </w:r>
    </w:p>
    <w:p>
      <w:r>
        <w:rPr>
          <w:i/>
          <w:color w:val="666666"/>
          <w:sz w:val="18"/>
        </w:rPr>
        <w:t>Cheung LC et al.  ·  J Natl Cancer Inst  ·  07.10.2026  ·  PMID 42842394</w:t>
      </w:r>
    </w:p>
    <w:p>
      <w:r>
        <w:t>Langzeitbeobachtung von 41.225 Kau- und Raucher aus der Kerala Oral Cancer Screening Trial (1996–2010): Analyse von Screening-Sensitivität, prädiktiven Werten und natürlicher Krankheitsgeschichte über multistate-Modelle.</w:t>
      </w:r>
    </w:p>
    <w:p>
      <w:r>
        <w:rPr>
          <w:b/>
        </w:rPr>
        <w:t xml:space="preserve">Ergebnis: </w:t>
      </w:r>
      <w:r>
        <w:t>Visuelles Screening über zwei aufeinanderfolgende Untersuchungen (Median 3,5 Jahre Abstand): Sensitivität 89,2%, positiv-prädiktiver Wert 1,55%, negativer Vorhersagewert 99,96% für prävalente Krebsfälle. Wiederholte Screening-Negative hatten 32-fach niedrigeres Krebsrisiko über 11 Jahre. Mittlere Dauer von Früh- zu Spätstadium: 2,7 Jahre. Mittlere Verweilzeit in Präkanzerose: 19,3 Jahre.</w:t>
      </w:r>
    </w:p>
    <w:p>
      <w:r>
        <w:rPr>
          <w:b/>
          <w:sz w:val="19"/>
        </w:rPr>
        <w:t xml:space="preserve">Übertragbarkeit: </w:t>
      </w:r>
      <w:r>
        <w:rPr>
          <w:sz w:val="19"/>
        </w:rPr>
        <w:t>Indien, hohe Prävalenz von Kau- und Rauchtabak; Screening-Algorithmus prinzipiell auf europäische Risikopopulationen übertragbar</w:t>
      </w:r>
    </w:p>
    <w:p>
      <w:r>
        <w:rPr>
          <w:color w:val="5A7D3A"/>
          <w:sz w:val="18"/>
        </w:rPr>
        <w:t>https://pubmed.ncbi.nlm.nih.gov/42842394/</w:t>
      </w:r>
    </w:p>
    <w:p>
      <w:pPr>
        <w:pStyle w:val="Heading2"/>
      </w:pPr>
      <w:r>
        <w:t>Daratumumab plus Lenalidomid/Dexamethason verlängert Überleben bei nicht transplantierbarem Myelom</w:t>
      </w:r>
    </w:p>
    <w:p>
      <w:r>
        <w:rPr>
          <w:i/>
          <w:color w:val="666666"/>
          <w:sz w:val="18"/>
        </w:rPr>
        <w:t>Facon T et al.  ·  Leukemia  ·  06.10.2026  ·  PMID 42839070</w:t>
      </w:r>
    </w:p>
    <w:p>
      <w:r>
        <w:t>Subgruppenanalyse der MAIA-Studie nach Frailty-Status bei älteren Patienten mit neu diagnostiziertem multiplem Myelom, die nicht für Stammzelltransplantation geeignet sind.</w:t>
      </w:r>
    </w:p>
    <w:p>
      <w:r>
        <w:rPr>
          <w:b/>
        </w:rPr>
        <w:t xml:space="preserve">Ergebnis: </w:t>
      </w:r>
      <w:r>
        <w:t>Bei nicht-frailen Patienten war das Gesamtüberleben unter D-Rd signifikant besser (Median nicht erreicht vs. 69,8 Monate; HR 0,53; 95%-KI 0,37–0,76; p=0,0004); bei frailen Patienten zeigte sich ein Trend ohne Signifikanz (HR 0,79; p=0,1128). Komplette Remissionsraten und MRD-Negativität waren über alle Frailty-Gruppen hinweg verbessert; längere Therapiedauer unter D-Rd deutete auf bessere Verträglichkeit hin.</w:t>
      </w:r>
    </w:p>
    <w:p>
      <w:r>
        <w:rPr>
          <w:b/>
          <w:sz w:val="19"/>
        </w:rPr>
        <w:t xml:space="preserve">Übertragbarkeit: </w:t>
      </w:r>
      <w:r>
        <w:rPr>
          <w:sz w:val="19"/>
        </w:rPr>
        <w:t>Europäische und kanadische Kliniken; direkter Bezug zu deutschen Behandlungsstandards beim älteren Myelom-Patient</w:t>
      </w:r>
    </w:p>
    <w:p>
      <w:r>
        <w:rPr>
          <w:color w:val="5A7D3A"/>
          <w:sz w:val="18"/>
        </w:rPr>
        <w:t>https://pubmed.ncbi.nlm.nih.gov/42839070/</w:t>
      </w:r>
    </w:p>
    <w:p>
      <w:pPr>
        <w:pStyle w:val="Heading2"/>
      </w:pPr>
      <w:r>
        <w:t>Blinatumomab-Kombination verbessert Überleben bei BCR::ABL1-negativer adulter ALL in Hochrisiko-Subtypen</w:t>
      </w:r>
    </w:p>
    <w:p>
      <w:r>
        <w:rPr>
          <w:i/>
          <w:color w:val="666666"/>
          <w:sz w:val="18"/>
        </w:rPr>
        <w:t>Zhong X et al.  ·  Blood  ·  05.10.2026  ·  PMID 42832396</w:t>
      </w:r>
    </w:p>
    <w:p>
      <w:r>
        <w:t>Genomische Charakterisierung von 569 Patienten der ECOG-ACRIN E1910-Studie zu Blinatumomab plus Chemotherapie bei BCR::ABL1-negativer B-ALL; Analyse von 23 Molekularsubtypen und Treibergenen.</w:t>
      </w:r>
    </w:p>
    <w:p>
      <w:r>
        <w:rPr>
          <w:b/>
        </w:rPr>
        <w:t xml:space="preserve">Ergebnis: </w:t>
      </w:r>
      <w:r>
        <w:t>Blinatumomab-Addition führte zu verbessertem rezidivfreiem und Gesamtüberleben bei hyperdiploidem, PAX5alt, PAX5 P80R, BCR::ABL1-ähnlichem JAK-STAT und KMT2A-R-Subtyp. TP53-Alterationen oder CHIP-assoziierte Mutationen (insgesamt 15,3% bzw. 9,8%) waren mit älterem Diagnose-Alter und schlechterem Ergebnis assoziiert. Analysen für einzelne Subtypen kleinerer Fallzahlen; Bestätigung erforderlich.</w:t>
      </w:r>
    </w:p>
    <w:p>
      <w:r>
        <w:rPr>
          <w:b/>
          <w:sz w:val="19"/>
        </w:rPr>
        <w:t xml:space="preserve">Übertragbarkeit: </w:t>
      </w:r>
      <w:r>
        <w:rPr>
          <w:sz w:val="19"/>
        </w:rPr>
        <w:t>USA; genomische Klassifikation und Therapiestrategie prinzipiell auf deutsche ALL-Zentren übertragbar</w:t>
      </w:r>
    </w:p>
    <w:p>
      <w:r>
        <w:rPr>
          <w:color w:val="5A7D3A"/>
          <w:sz w:val="18"/>
        </w:rPr>
        <w:t>https://pubmed.ncbi.nlm.nih.gov/42832396/</w:t>
      </w:r>
    </w:p>
    <w:p>
      <w:pPr>
        <w:pStyle w:val="Heading1"/>
      </w:pPr>
      <w:r>
        <w:t>Aufgenommen am 07.10.2026</w:t>
      </w:r>
    </w:p>
    <w:p>
      <w:pPr>
        <w:pStyle w:val="Heading2"/>
      </w:pPr>
      <w:r>
        <w:t>Saure Mikroumgebung vermindert CD8-Immunität: Zielstruktur für Immuntherapie-Resistenz bei Magenkrebs</w:t>
      </w:r>
    </w:p>
    <w:p>
      <w:r>
        <w:rPr>
          <w:i/>
          <w:color w:val="666666"/>
          <w:sz w:val="18"/>
        </w:rPr>
        <w:t>Wang T et al.  ·  Cancer Cell  ·  06.10.2026  ·  PMID 42838052</w:t>
      </w:r>
    </w:p>
    <w:p>
      <w:r>
        <w:t>Einzelzell-Chromatin-Accessibility-Atlas von 650 Proben aus 439 Patienten mit multistep-Magenkrebsentstehung zur Identifikation epigenomischer Subtypen und ihrer Immuntherapie-Sensitivität.</w:t>
      </w:r>
    </w:p>
    <w:p>
      <w:r>
        <w:rPr>
          <w:b/>
        </w:rPr>
        <w:t xml:space="preserve">Ergebnis: </w:t>
      </w:r>
      <w:r>
        <w:t>Drei epigenomische Subtypen: proliferativ und mesenchymal-inflammatorisch sind sensitiv für neoadjuvante Immuntherapie. Ein dritter, pseudo-gastraler Subtyp ist intrinsisch therapieresistent, gekennzeichnet durch FOSL2-getriebene H+/K+-ATPase-Expression und Acidifiez­rung. Inhibition durch FOSL2-Depletion oder Vonoprazan (verfügbarer H+-Blocker) sensibilisiert für Immuntherapie und unterdrückt CD8+ T-Zellen.</w:t>
      </w:r>
    </w:p>
    <w:p>
      <w:r>
        <w:rPr>
          <w:b/>
          <w:sz w:val="19"/>
        </w:rPr>
        <w:t xml:space="preserve">Übertragbarkeit: </w:t>
      </w:r>
      <w:r>
        <w:rPr>
          <w:sz w:val="19"/>
        </w:rPr>
        <w:t>China, Mechanismus epigenetisch fundiert; Vonoprazan in Deutschland zugelassen, klinische Translation noch offen.</w:t>
      </w:r>
    </w:p>
    <w:p>
      <w:r>
        <w:rPr>
          <w:color w:val="5A7D3A"/>
          <w:sz w:val="18"/>
        </w:rPr>
        <w:t>https://pubmed.ncbi.nlm.nih.gov/42838052/</w:t>
      </w:r>
    </w:p>
    <w:p>
      <w:pPr>
        <w:pStyle w:val="Heading2"/>
      </w:pPr>
      <w:r>
        <w:t>Glofitamab plus Polatuzumab-R-CHP: 95% Complete-Response-Rate bei DLBCL</w:t>
      </w:r>
    </w:p>
    <w:p>
      <w:r>
        <w:rPr>
          <w:i/>
          <w:color w:val="666666"/>
          <w:sz w:val="18"/>
        </w:rPr>
        <w:t>Crombie JL et al.  ·  Blood  ·  06.10.2026  ·  PMID 42837325</w:t>
      </w:r>
    </w:p>
    <w:p>
      <w:r>
        <w:t>Phase-II-Studie zur Kombination des CD3xCD20-Bispecific-Antikörpers Glofitamab mit Polatuzumab und Standardchemotherapie (pola-R-CHP) bei neu diagnostiziertem diffusem großzelligem B-Zell-Lymphom mit IPI ≥2.</w:t>
      </w:r>
    </w:p>
    <w:p>
      <w:r>
        <w:rPr>
          <w:b/>
        </w:rPr>
        <w:t xml:space="preserve">Ergebnis: </w:t>
      </w:r>
      <w:r>
        <w:t>Best Complete-Response-Rate 95% (39/41; 95%-KI 83–99), beide Patienten mit Partialremission konvertierten ohne Intervention. Bei Median-Follow-up 23,9 Monate: 24-Monats-PFS 95% (95%-KI 89–100). Cytokine-Release-Syndrome nur Grad 1 (n=4, 10%), keine Neurotoxizität. Vorläufig belastbare Ansprechraten und Verträglichkeit.</w:t>
      </w:r>
    </w:p>
    <w:p>
      <w:r>
        <w:rPr>
          <w:b/>
          <w:sz w:val="19"/>
        </w:rPr>
        <w:t xml:space="preserve">Übertragbarkeit: </w:t>
      </w:r>
      <w:r>
        <w:rPr>
          <w:sz w:val="19"/>
        </w:rPr>
        <w:t>USA, ähnlicher Ressourcenausstattung wie deutsches System; Zulassung noch zu klären.</w:t>
      </w:r>
    </w:p>
    <w:p>
      <w:r>
        <w:rPr>
          <w:color w:val="5A7D3A"/>
          <w:sz w:val="18"/>
        </w:rPr>
        <w:t>https://pubmed.ncbi.nlm.nih.gov/42837325/</w:t>
      </w:r>
    </w:p>
    <w:p>
      <w:pPr>
        <w:pStyle w:val="Heading2"/>
      </w:pPr>
      <w:r>
        <w:t>Telomerlänge prognostiziert Progression bei CLL unter Venetoclax-Therapie</w:t>
      </w:r>
    </w:p>
    <w:p>
      <w:r>
        <w:rPr>
          <w:i/>
          <w:color w:val="666666"/>
          <w:sz w:val="18"/>
        </w:rPr>
        <w:t>Jebaraj BMC et al.  ·  Blood  ·  06.10.2026  ·  PMID 42837320</w:t>
      </w:r>
    </w:p>
    <w:p>
      <w:r>
        <w:t>Prospektive Analyse von 917 Patientenproben aus den randomisierten Studien GAIA/CLL13 und CLL2-GIVe zu prognostischer Bedeutung der Telomerlänge unter modernen Targeted Therapies bei chronischer lymphatischer Leukämie.</w:t>
      </w:r>
    </w:p>
    <w:p>
      <w:r>
        <w:rPr>
          <w:b/>
        </w:rPr>
        <w:t xml:space="preserve">Ergebnis: </w:t>
      </w:r>
      <w:r>
        <w:t>Kurze Telomere (Cutoff 4,17 kb) korrelierten mit ungünstigen klinischen und genetischen Merkmalen (alle p&lt;0,01). Sie waren unabhängiger Prognosefaktor für verkürztes progressionsfreies Überleben in allen Behandlungsarmen (p&lt;0,01), in der Chemoimmunotherapie auch für Gesamtüberleben (p=0,024). Unter Venetoclax-basierten Kombinationen: Median-PFS 7 Jahre bei langen Telomeren, deutlich kürzer bei kurzen.</w:t>
      </w:r>
    </w:p>
    <w:p>
      <w:r>
        <w:rPr>
          <w:b/>
          <w:sz w:val="19"/>
        </w:rPr>
        <w:t xml:space="preserve">Übertragbarkeit: </w:t>
      </w:r>
      <w:r>
        <w:rPr>
          <w:sz w:val="19"/>
        </w:rPr>
        <w:t>Deutsche und europäische Multizenterstudie, direkt auf deutsches Krebszentrumsetting übertragbar.</w:t>
      </w:r>
    </w:p>
    <w:p>
      <w:r>
        <w:rPr>
          <w:color w:val="5A7D3A"/>
          <w:sz w:val="18"/>
        </w:rPr>
        <w:t>https://pubmed.ncbi.nlm.nih.gov/42837320/</w:t>
      </w:r>
    </w:p>
    <w:p>
      <w:pPr>
        <w:pStyle w:val="Heading2"/>
      </w:pPr>
      <w:r>
        <w:t>21-Gen-Recurrence-Score bei pN2-3 Brustkrebs: OS-Vorteil durch Chemotherapie</w:t>
      </w:r>
    </w:p>
    <w:p>
      <w:r>
        <w:rPr>
          <w:i/>
          <w:color w:val="666666"/>
          <w:sz w:val="18"/>
        </w:rPr>
        <w:t>Valenza C et al.  ·  J Natl Cancer Inst  ·  06.10.2026  ·  PMID 42836707</w:t>
      </w:r>
    </w:p>
    <w:p>
      <w:r>
        <w:t>Nationale retrospektive Kohortenstudie (USA, NCDB) an 3.110 von 50.229 Patienten mit hormonrezeptorpositivem/HER2-negativem Brustkrebs (pN2-3) und 21-Gen-RS ≤25 zum Nutzen adjuvanter Chemotherapie trotz niedriger genetischer Risikogruppe.</w:t>
      </w:r>
    </w:p>
    <w:p>
      <w:r>
        <w:rPr>
          <w:b/>
        </w:rPr>
        <w:t xml:space="preserve">Ergebnis: </w:t>
      </w:r>
      <w:r>
        <w:t>Unter 2.058 getesteten Patienten mit RS ≤25 (Median 15) erhielten 68% Chemotherapie. Bei Median-Follow-up 5,3 Jahre: Adjustierte HR für Gesamtüberleben (Chemotherapie vs. keine) 0,62 (95%-KI 0,48–0,81; p=0,0002). Autoren warnen vor Confounder-by-Indication und fordern RCTs – Ergebnis unter Vorbehalt.</w:t>
      </w:r>
    </w:p>
    <w:p>
      <w:r>
        <w:rPr>
          <w:b/>
          <w:sz w:val="19"/>
        </w:rPr>
        <w:t xml:space="preserve">Übertragbarkeit: </w:t>
      </w:r>
      <w:r>
        <w:rPr>
          <w:sz w:val="19"/>
        </w:rPr>
        <w:t>USA-Klinikdaten, System unterscheidet sich; 21-Gen-Test in Deutschland begrenzt verfügbar.</w:t>
      </w:r>
    </w:p>
    <w:p>
      <w:r>
        <w:rPr>
          <w:color w:val="5A7D3A"/>
          <w:sz w:val="18"/>
        </w:rPr>
        <w:t>https://pubmed.ncbi.nlm.nih.gov/42836707/</w:t>
      </w:r>
    </w:p>
    <w:p>
      <w:pPr>
        <w:pStyle w:val="Heading2"/>
      </w:pPr>
      <w:r>
        <w:t>Antibody-Drug-Conjugates versus Chemotherapie: unterschiedliche Lebensqualitäts-Profile</w:t>
      </w:r>
    </w:p>
    <w:p>
      <w:r>
        <w:rPr>
          <w:i/>
          <w:color w:val="666666"/>
          <w:sz w:val="18"/>
        </w:rPr>
        <w:t>Milani M et al.  ·  Oncologist  ·  05.10.2026  ·  PMID 42834440</w:t>
      </w:r>
    </w:p>
    <w:p>
      <w:r>
        <w:t>Prospektive italienische Kohortenstudie (DAMA-Framework) mit elektronischen Patienten-Reported Outcome Measures (ePROMs) bei 122 Patientinnen mit metastasiertem Brustkrebs unter Second-Line-Therapie: 51 ADC vs. 71 konventionelle Chemotherapie, 6-Monats-Follow-up.</w:t>
      </w:r>
    </w:p>
    <w:p>
      <w:r>
        <w:rPr>
          <w:b/>
        </w:rPr>
        <w:t xml:space="preserve">Ergebnis: </w:t>
      </w:r>
      <w:r>
        <w:t>ADC-Gruppe: stärkerer Gewichtsverlust bei 3 Monaten (–3,1 vs. –1,2 kg), größerer Rückgang wöchentlicher körperlicher Aktivität (–41 vs. –22 Min./Woche), höhere psychische Belastung und Caregiver-Burden, aber niedrigere Schmerzwerte (3,7 vs. 5,3). Bei 6 Monaten: mehrere Unterschiede attenuiert. Physische Aktivität korrelierte nicht mit Schmerz, Stress oder Angst.</w:t>
      </w:r>
    </w:p>
    <w:p>
      <w:r>
        <w:rPr>
          <w:b/>
          <w:sz w:val="19"/>
        </w:rPr>
        <w:t xml:space="preserve">Übertragbarkeit: </w:t>
      </w:r>
      <w:r>
        <w:rPr>
          <w:sz w:val="19"/>
        </w:rPr>
        <w:t>Italien, innerhalb Europas übertragbar; ePROM-Ansatz für deutsche Versorgungsforschung relevant.</w:t>
      </w:r>
    </w:p>
    <w:p>
      <w:r>
        <w:rPr>
          <w:color w:val="5A7D3A"/>
          <w:sz w:val="18"/>
        </w:rPr>
        <w:t>https://pubmed.ncbi.nlm.nih.gov/42834440/</w:t>
      </w:r>
    </w:p>
    <w:p>
      <w:pPr>
        <w:pStyle w:val="Heading2"/>
      </w:pPr>
      <w:r>
        <w:t>Krebsinzidenz bei Kindern, Jugendlichen und jungen Erwachsenen in England 2001–2020</w:t>
      </w:r>
    </w:p>
    <w:p>
      <w:r>
        <w:rPr>
          <w:i/>
          <w:color w:val="666666"/>
          <w:sz w:val="18"/>
        </w:rPr>
        <w:t>Thompson S et al.  ·  Eur J Cancer  ·  02.10.2026  ·  PMID 42833137</w:t>
      </w:r>
    </w:p>
    <w:p>
      <w:r>
        <w:t>Nationale Registerstudie aus England (NDRS) zu Trends bei Neudiagnosen von Krebserkrankungen bei Unter-25-Jährigen über 20 Jahre mit Joinpoint-Analyse und Geschlechterstratifizierung.</w:t>
      </w:r>
    </w:p>
    <w:p>
      <w:r>
        <w:rPr>
          <w:b/>
        </w:rPr>
        <w:t xml:space="preserve">Ergebnis: </w:t>
      </w:r>
      <w:r>
        <w:t>Gesamtinzidenz 147 pro Million (0–14 Jahre) und 273 pro Million (15–24 Jahre). Lymphoidale Leukämie und Hirn-/ZNS-Tumoren: 46% der Diagnosen bei Kindern. Bei jungen Erwachsenen: Hodgkin-Lymphom 15%, malignes Melanom 9%, Hodenkrebs 24% der Männer. Kolorektaler Krebs bei 15–24-Jährigen: Anstieg bis 2015, dann APC –37,59% (p&lt;0,001). Schilddrüsenkrebs: kontinuierlicher Anstieg (APC +5,49%, p&lt;0,001). Gebärmutterhalskrebs Rückgang seit 2015 (APC –21,9%, p=0,03).</w:t>
      </w:r>
    </w:p>
    <w:p>
      <w:r>
        <w:rPr>
          <w:b/>
          <w:sz w:val="19"/>
        </w:rPr>
        <w:t xml:space="preserve">Übertragbarkeit: </w:t>
      </w:r>
      <w:r>
        <w:rPr>
          <w:sz w:val="19"/>
        </w:rPr>
        <w:t>England, vergleichbares Versicherungssystem, ähnliche Registerqualität wie Deutschland.</w:t>
      </w:r>
    </w:p>
    <w:p>
      <w:r>
        <w:rPr>
          <w:color w:val="5A7D3A"/>
          <w:sz w:val="18"/>
        </w:rPr>
        <w:t>https://pubmed.ncbi.nlm.nih.gov/42833137/</w:t>
      </w:r>
    </w:p>
    <w:p>
      <w:pPr>
        <w:pStyle w:val="Heading2"/>
      </w:pPr>
      <w:r>
        <w:t>Vaginales Östrogen bei Brust- und Gynäkologie-Krebsüberlebenden: Sicherheit und Wirksamkeit</w:t>
      </w:r>
    </w:p>
    <w:p>
      <w:r>
        <w:rPr>
          <w:i/>
          <w:color w:val="666666"/>
          <w:sz w:val="18"/>
        </w:rPr>
        <w:t>Burns JB et al.  ·  JCO Oncol Pract  ·  05.10.2026  ·  PMID 42832731</w:t>
      </w:r>
    </w:p>
    <w:p>
      <w:r>
        <w:t>Narrative Review zur Sicherheit und Wirksamkeit von Low-Dose-Vaginaloestrogen bei Behandlung von Genitourinary-Syndrome-of-Menopause (GSM) in Patienten mit früherer Brust- oder Gynäkologiakrebserkrankung basierend auf aktueller Literatur und Leitlinien.</w:t>
      </w:r>
    </w:p>
    <w:p>
      <w:r>
        <w:rPr>
          <w:b/>
        </w:rPr>
        <w:t xml:space="preserve">Ergebnis: </w:t>
      </w:r>
      <w:r>
        <w:t>Vaginoestrogen zeigt konsistent signifikante Verbesserung von GSM-Symptomen und Lebensqualität. Minimale systemische Absorption bei Low-Dose-Formulierungen (Serum-Estradiol bleibt postmenopausal). Große observationale Studien und Metaanalysen zeigen keinen erhöhten Brustkrebs-Rezidiv- oder Mortalitätsrisiko, auch bei Östrogenrezeptor-positivem Krebs und Tamoxifen-Therapie. Daten für Aromatase-Inhibitor-Patienten limitiert. Sicherheit und Wirksamkeit unterstützt bei Shared Decision-Making; nicht-hormonale Therapie erste Linie, Low-Dose-Vaginaloestrogen effektive Option bei refraktären Symptomen.</w:t>
      </w:r>
    </w:p>
    <w:p>
      <w:r>
        <w:rPr>
          <w:b/>
          <w:sz w:val="19"/>
        </w:rPr>
        <w:t xml:space="preserve">Übertragbarkeit: </w:t>
      </w:r>
      <w:r>
        <w:rPr>
          <w:sz w:val="19"/>
        </w:rPr>
        <w:t>Systematische Literaturübersicht, internationale Evidenz; deutsches Versorgungsprinzip des Shared Decision-Making abgedeckt.</w:t>
      </w:r>
    </w:p>
    <w:p>
      <w:r>
        <w:rPr>
          <w:color w:val="5A7D3A"/>
          <w:sz w:val="18"/>
        </w:rPr>
        <w:t>https://pubmed.ncbi.nlm.nih.gov/42832731/</w:t>
      </w:r>
    </w:p>
    <w:p>
      <w:pPr>
        <w:pStyle w:val="Heading1"/>
      </w:pPr>
      <w:r>
        <w:t>Aufgenommen am 06.10.2026</w:t>
      </w:r>
    </w:p>
    <w:p>
      <w:pPr>
        <w:pStyle w:val="Heading2"/>
      </w:pPr>
      <w:r>
        <w:t>EGCG reduziert EBV-Reaktivierung bei Nasopharynxkarzinom nicht</w:t>
      </w:r>
    </w:p>
    <w:p>
      <w:r>
        <w:rPr>
          <w:i/>
          <w:color w:val="666666"/>
          <w:sz w:val="18"/>
        </w:rPr>
        <w:t>Tsai HJ et al.  ·  Eur J Cancer  ·  01.10.2026  ·  PMID 42833136</w:t>
      </w:r>
    </w:p>
    <w:p>
      <w:r>
        <w:t>Randomisierte Studie bei 353 Patienten mit Nasopharynxkarzinom in Remission: Epigallocatechingallat (EGCG) aus grünem Tee versus Placebo für 3 Jahre zur Verhinderung von EBV-Reaktivierung und Tumorrezidiv.</w:t>
      </w:r>
    </w:p>
    <w:p>
      <w:r>
        <w:rPr>
          <w:b/>
        </w:rPr>
        <w:t xml:space="preserve">Ergebnis: </w:t>
      </w:r>
      <w:r>
        <w:t>EGCG reduzierte weder die EBV-DNA-Reaktivierungsrate noch die Rezidivrate signifikant. Positive plasma-EBV-DNA war jedoch stark mit hoher Rezidivrate und kürzerer rezidivfreier sowie Gesamtüberlebenszeit assoziiert (alle p&lt;0,05). EBV-DNA eignet sich als Überwachungsmarker.</w:t>
      </w:r>
    </w:p>
    <w:p>
      <w:r>
        <w:rPr>
          <w:b/>
          <w:sz w:val="19"/>
        </w:rPr>
        <w:t xml:space="preserve">Übertragbarkeit: </w:t>
      </w:r>
      <w:r>
        <w:rPr>
          <w:sz w:val="19"/>
        </w:rPr>
        <w:t>Taiwan-Studie, aber Methodik und Ergebnis sind auf HNO-Zentren übertragbar</w:t>
      </w:r>
    </w:p>
    <w:p>
      <w:r>
        <w:rPr>
          <w:color w:val="5A7D3A"/>
          <w:sz w:val="18"/>
        </w:rPr>
        <w:t>https://pubmed.ncbi.nlm.nih.gov/42833136/</w:t>
      </w:r>
    </w:p>
    <w:p>
      <w:pPr>
        <w:pStyle w:val="Heading2"/>
      </w:pPr>
      <w:r>
        <w:t>Mosunetuzumab-Polatuzumab bei älteren fragilen Patienten mit großzelligem B-Lymphom</w:t>
      </w:r>
    </w:p>
    <w:p>
      <w:r>
        <w:rPr>
          <w:i/>
          <w:color w:val="666666"/>
          <w:sz w:val="18"/>
        </w:rPr>
        <w:t>Olszewski AJ et al.  ·  Blood  ·  05.10.2026  ·  PMID 42832423</w:t>
      </w:r>
    </w:p>
    <w:p>
      <w:r>
        <w:t>Offene Phase-I/II-Studie mit 101 älteren/unfitness Patienten mit neu diagnostiziertem diffusem großzelligem B-Lymphom (Medianalter 81 Jahre): Mosunetuzumab plus Polatuzumab vedotin für bis zu 8 Zyklen, bewertet nach geriatrischer Assessmentklassifikation.</w:t>
      </w:r>
    </w:p>
    <w:p>
      <w:r>
        <w:rPr>
          <w:b/>
        </w:rPr>
        <w:t xml:space="preserve">Ergebnis: </w:t>
      </w:r>
      <w:r>
        <w:t>ORR 61,4%, komplette Remission 56,4%. Zwei-Jahres-PFS 52,2%, Zwei-Jahres-OS 62,4% (Median nicht erreicht). Cytokine-Release-Syndrome in 30,6% (überwiegend Grad 1). Infektionsbedingte Mortalität vor allem bei als 'frail' klassifizierten Patienten und während COVID-19-Pandemie.</w:t>
      </w:r>
    </w:p>
    <w:p>
      <w:r>
        <w:rPr>
          <w:b/>
          <w:sz w:val="19"/>
        </w:rPr>
        <w:t xml:space="preserve">Übertragbarkeit: </w:t>
      </w:r>
      <w:r>
        <w:rPr>
          <w:sz w:val="19"/>
        </w:rPr>
        <w:t>Internationales Design, deutschsprachiger Co-Autor, vergleichbare Behandlungsstandards</w:t>
      </w:r>
    </w:p>
    <w:p>
      <w:r>
        <w:rPr>
          <w:color w:val="5A7D3A"/>
          <w:sz w:val="18"/>
        </w:rPr>
        <w:t>https://pubmed.ncbi.nlm.nih.gov/42832423/</w:t>
      </w:r>
    </w:p>
    <w:p>
      <w:pPr>
        <w:pStyle w:val="Heading2"/>
      </w:pPr>
      <w:r>
        <w:t>RVD-lite bewährt sich langfristig bei älteren Multiplem Myelom</w:t>
      </w:r>
    </w:p>
    <w:p>
      <w:r>
        <w:rPr>
          <w:i/>
          <w:color w:val="666666"/>
          <w:sz w:val="18"/>
        </w:rPr>
        <w:t>Gustine JN et al.  ·  Clin Cancer Res  ·  05.10.2026  ·  PMID 42832368</w:t>
      </w:r>
    </w:p>
    <w:p>
      <w:r>
        <w:t>Phase-II-Studie mit 50 transplantationsungeeigneten Myelom-Patienten (Medianalter 73 Jahre): modifizierte Intensität von Lenalidomid, Bortezomib, Dexamethason über 9 Induktions- und 6 Konsolidierungszyklen, Mediannachverfolgung 72 Monate.</w:t>
      </w:r>
    </w:p>
    <w:p>
      <w:r>
        <w:rPr>
          <w:b/>
        </w:rPr>
        <w:t xml:space="preserve">Ergebnis: </w:t>
      </w:r>
      <w:r>
        <w:t>ORR 90%, ≥VGPR 66%. Median-PFS 42 Monate (5-Jahres-PFS 40%), Median-OS 76 Monate (5-Jahres-OS 63%). ECOG-Status 2 assoziiert mit schlechterer PFS und OS. Nur 4% Therapieabbau wegen Toxizität, keine behandlungsbedingte Mortalität.</w:t>
      </w:r>
    </w:p>
    <w:p>
      <w:r>
        <w:rPr>
          <w:b/>
          <w:sz w:val="19"/>
        </w:rPr>
        <w:t xml:space="preserve">Übertragbarkeit: </w:t>
      </w:r>
      <w:r>
        <w:rPr>
          <w:sz w:val="19"/>
        </w:rPr>
        <w:t>US-akademisches Zentrum, aber Outcome-Daten für deutschsprachige Praxen relevant</w:t>
      </w:r>
    </w:p>
    <w:p>
      <w:r>
        <w:rPr>
          <w:color w:val="5A7D3A"/>
          <w:sz w:val="18"/>
        </w:rPr>
        <w:t>https://pubmed.ncbi.nlm.nih.gov/42832368/</w:t>
      </w:r>
    </w:p>
    <w:p>
      <w:pPr>
        <w:pStyle w:val="Heading2"/>
      </w:pPr>
      <w:r>
        <w:t>Finanzielle Anreize fördern Rauchstopp bei Lungenkrebsscreening</w:t>
      </w:r>
    </w:p>
    <w:p>
      <w:r>
        <w:rPr>
          <w:i/>
          <w:color w:val="666666"/>
          <w:sz w:val="18"/>
        </w:rPr>
        <w:t>Hart JL et al.  ·  JAMA  ·  05.10.2026  ·  PMID 42832220</w:t>
      </w:r>
    </w:p>
    <w:p>
      <w:r>
        <w:t>Randomisierte Studie mit 3.220 unterversorgten Rauchern beim Lungenkrebsscreening in USA: vier Strategien verglichen – Standardberatung, plus freie Pharmakotherapie, plus finanzielle Anreize bis 600 USD, plus mobile Health-App.</w:t>
      </w:r>
    </w:p>
    <w:p>
      <w:r>
        <w:rPr>
          <w:b/>
        </w:rPr>
        <w:t xml:space="preserve">Ergebnis: </w:t>
      </w:r>
      <w:r>
        <w:t>Sustained Abstinenz über 6 Monate: 4,3% (Standardberatung), 5,1% (Pharmaka), 8,8% (Anreize), 7,2% (Anreize+App). Anreize zeigten adjustierte Differenz von +4,6% gegenüber Standard (p&lt;0,001) und +4,1% gegenüber Standard+Pharmaka (p&lt;0,001). Freie Medikation allein war nicht überlegen.</w:t>
      </w:r>
    </w:p>
    <w:p>
      <w:r>
        <w:rPr>
          <w:b/>
          <w:sz w:val="19"/>
        </w:rPr>
        <w:t xml:space="preserve">Übertragbarkeit: </w:t>
      </w:r>
      <w:r>
        <w:rPr>
          <w:sz w:val="19"/>
        </w:rPr>
        <w:t>USA-System mit anderer Krankenversicherung, aber Befund zu Anreizmechanismen gesundheitssystemübergreifend relevant</w:t>
      </w:r>
    </w:p>
    <w:p>
      <w:r>
        <w:rPr>
          <w:color w:val="5A7D3A"/>
          <w:sz w:val="18"/>
        </w:rPr>
        <w:t>https://pubmed.ncbi.nlm.nih.gov/42832220/</w:t>
      </w:r>
    </w:p>
    <w:p>
      <w:pPr>
        <w:pStyle w:val="Heading2"/>
      </w:pPr>
      <w:r>
        <w:t>Sequenzierung von Regorafenib vor Anti-EGFR ist möglich – Studie aber unterbesetzt</w:t>
      </w:r>
    </w:p>
    <w:p>
      <w:r>
        <w:rPr>
          <w:i/>
          <w:color w:val="666666"/>
          <w:sz w:val="18"/>
        </w:rPr>
        <w:t>Abidoye OB et al.  ·  Oncologist  ·  03.10.2026  ·  PMID 42830449</w:t>
      </w:r>
    </w:p>
    <w:p>
      <w:r>
        <w:t>Phase-II-Randomisierungsstudie REVERCE II mit 22 Patienten mit RAS/BRAF-WT metastasiertem Kolorektalkarzinom nach Standardchemotherapie: Regorafenib → Anti-EGFR versus Anti-EGFR → Regorafenib sequenziell, primärer Endpunkt Gesamtüberleben.</w:t>
      </w:r>
    </w:p>
    <w:p>
      <w:r>
        <w:rPr>
          <w:b/>
        </w:rPr>
        <w:t xml:space="preserve">Ergebnis: </w:t>
      </w:r>
      <w:r>
        <w:t>Wegen langsamer Rekrutierung vorzeitig geschlossen. Median-OS: Regorafenib-First 21,9 vs. EGFR-First 13,3 Monate (einseitig p=0,114). PFS1 2,5 vs. 5,6 Monate (p=0,998), PFS2 3,7 vs. 2,0 Monate (p=0,086). Regorafenib-First zeigte numerischen OS-Vorteil ohne Signifikanz. Keine wesentlichen Unterschiede in Nebenwirkungen.</w:t>
      </w:r>
    </w:p>
    <w:p>
      <w:r>
        <w:rPr>
          <w:b/>
          <w:sz w:val="19"/>
        </w:rPr>
        <w:t xml:space="preserve">Übertragbarkeit: </w:t>
      </w:r>
      <w:r>
        <w:rPr>
          <w:sz w:val="19"/>
        </w:rPr>
        <w:t>USA-amerikanische Studie, unterbesetzt, aber Sequenzierungsfrage für deutsche Praxen relevant</w:t>
      </w:r>
    </w:p>
    <w:p>
      <w:r>
        <w:rPr>
          <w:color w:val="5A7D3A"/>
          <w:sz w:val="18"/>
        </w:rPr>
        <w:t>https://pubmed.ncbi.nlm.nih.gov/42830449/</w:t>
      </w:r>
    </w:p>
    <w:p>
      <w:pPr>
        <w:pStyle w:val="Heading2"/>
      </w:pPr>
      <w:r>
        <w:t>Molekulares Profiling von Schweißdrüsenkarzinomen identifiziert Therapieziele</w:t>
      </w:r>
    </w:p>
    <w:p>
      <w:r>
        <w:rPr>
          <w:i/>
          <w:color w:val="666666"/>
          <w:sz w:val="18"/>
        </w:rPr>
        <w:t>Racz L et al.  ·  Eur J Cancer  ·  16.10.2026  ·  PMID 42762558</w:t>
      </w:r>
    </w:p>
    <w:p>
      <w:r>
        <w:t>Narrative Übersicht über genetische Landschaft von über 20 seltenen Schweißdrüsenkarzinom-Entitäten (SGC) mit Fokus auf Mutationslandschaften und therapeutische Angriffspunkte für aggressive Tumoren ohne Therapieoptionen im fortgeschrittenen Stadium.</w:t>
      </w:r>
    </w:p>
    <w:p>
      <w:r>
        <w:rPr>
          <w:b/>
        </w:rPr>
        <w:t xml:space="preserve">Ergebnis: </w:t>
      </w:r>
      <w:r>
        <w:t>SGCs zeigen hohe Mutationslast, UV-induzierte DNA-Schädigungssignaturen, EGFR-Dysregulation, Defekte in Homolog-Rekombinations-Reparatur. Rezidivierende Alterationen in TP53, PIK3CA, CDKN2A/B identifiziert. Fusionsgene teilweise entitätsspezifisch; digital-papilläres Adenokarzinom einziges HPV42-getriebenes SGC. Empfehlung: umfassendes molekulares Profiling + Systemregistern für seltene Krebsarten.</w:t>
      </w:r>
    </w:p>
    <w:p>
      <w:r>
        <w:rPr>
          <w:b/>
          <w:sz w:val="19"/>
        </w:rPr>
        <w:t xml:space="preserve">Übertragbarkeit: </w:t>
      </w:r>
      <w:r>
        <w:rPr>
          <w:sz w:val="19"/>
        </w:rPr>
        <w:t>Deutsche und europäische Autor:innen, deutschsprachige Zentren einbezogen, gültig für Zertifizierungsanforderungen</w:t>
      </w:r>
    </w:p>
    <w:p>
      <w:r>
        <w:rPr>
          <w:color w:val="5A7D3A"/>
          <w:sz w:val="18"/>
        </w:rPr>
        <w:t>https://pubmed.ncbi.nlm.nih.gov/42762558/</w:t>
      </w:r>
    </w:p>
    <w:p>
      <w:pPr>
        <w:pStyle w:val="Heading1"/>
      </w:pPr>
      <w:r>
        <w:t>Aufgenommen am 05.10.2026</w:t>
      </w:r>
    </w:p>
    <w:p>
      <w:pPr>
        <w:pStyle w:val="Heading2"/>
      </w:pPr>
      <w:r>
        <w:t>3D-DNA-Architektur in IDH1- und DNMT3A-mutanter AML identifiziert IGF1R- und MAPK-Vulnerabilität</w:t>
      </w:r>
    </w:p>
    <w:p>
      <w:r>
        <w:rPr>
          <w:i/>
          <w:color w:val="666666"/>
          <w:sz w:val="18"/>
        </w:rPr>
        <w:t>Steinhäuser S et al.  ·  Leukemia  ·  01.10.2026  ·  PMID 42823507</w:t>
      </w:r>
    </w:p>
    <w:p>
      <w:r>
        <w:t>Deutsche Studie an Primärproben von AML-Patienten, die mutations-spezifische Veränderungen der 3D-Genom-Architektur analysierte und damit verbundene therapeutische Targets identifizierte.</w:t>
      </w:r>
    </w:p>
    <w:p>
      <w:r>
        <w:rPr>
          <w:b/>
        </w:rPr>
        <w:t xml:space="preserve">Ergebnis: </w:t>
      </w:r>
      <w:r>
        <w:t>IDH1-mutante AML zeigte Sensitivität gegen IGF1R-Inhibitor BMS-754807, DNMT3A-mutante AML gegen p38/MAPK-Inhibitor ralimetinib. Die 3D-DNA-Konformationsveränderungen waren spezifisch für die Mutationen und wurden in Zelllinien und Patientenproben bestätigt.</w:t>
      </w:r>
    </w:p>
    <w:p>
      <w:r>
        <w:rPr>
          <w:b/>
          <w:sz w:val="19"/>
        </w:rPr>
        <w:t xml:space="preserve">Übertragbarkeit: </w:t>
      </w:r>
      <w:r>
        <w:rPr>
          <w:sz w:val="19"/>
        </w:rPr>
        <w:t>Deutsche Universitätsklinika (Kiel, Dresden, Berlin), identifiziert Therapieoptionen für AML-Subtypen</w:t>
      </w:r>
    </w:p>
    <w:p>
      <w:r>
        <w:rPr>
          <w:color w:val="5A7D3A"/>
          <w:sz w:val="18"/>
        </w:rPr>
        <w:t>https://pubmed.ncbi.nlm.nih.gov/42823507/</w:t>
      </w:r>
    </w:p>
    <w:p>
      <w:pPr>
        <w:pStyle w:val="Heading2"/>
      </w:pPr>
      <w:r>
        <w:t>Rassische Disparitäten in der Behandlung von Myelom-Knochenschaden: Afroamerikaner erhalten weniger BMAs</w:t>
      </w:r>
    </w:p>
    <w:p>
      <w:r>
        <w:rPr>
          <w:i/>
          <w:color w:val="666666"/>
          <w:sz w:val="18"/>
        </w:rPr>
        <w:t>Irimia RM et al.  ·  JCO Oncol Pract  ·  01.10.2026  ·  PMID 42821828</w:t>
      </w:r>
    </w:p>
    <w:p>
      <w:r>
        <w:t>Retrospektive Kohortenstudie an 350 neu diagnostizierten Myelompatienten (149 Afroamerikaner, 201 Weiße) zum Vergleich von Knochenereignissen und knochenmodifizierender Therapie im ersten Jahr nach Diagnose.</w:t>
      </w:r>
    </w:p>
    <w:p>
      <w:r>
        <w:rPr>
          <w:b/>
        </w:rPr>
        <w:t xml:space="preserve">Ergebnis: </w:t>
      </w:r>
      <w:r>
        <w:t>Afroamerikaner erhielten im ersten Jahr signifikant weniger knochenmodifizierende Agenzien (BMA): 64% vs. 77% (p=0,013), Mediandosen 5 vs. 7/Jahr (p&lt;0,001). Bei frühen Knochenereignissen (&lt;peridiagnostisch) waren Afroamerikaner weniger wahrscheinlich, ≥4 BMA-Dosen zu erhalten (46% vs. 76%, p&lt;0,001). Kumulatives SRE-Risiko post-peridiagnostisch unterschied sich nicht (16% vs. 21%, p=0,24).</w:t>
      </w:r>
    </w:p>
    <w:p>
      <w:r>
        <w:rPr>
          <w:b/>
          <w:sz w:val="19"/>
        </w:rPr>
        <w:t xml:space="preserve">Übertragbarkeit: </w:t>
      </w:r>
      <w:r>
        <w:rPr>
          <w:sz w:val="19"/>
        </w:rPr>
        <w:t>USA-Zentren, aber Erkenntnis zu Therapiedisparitäten und Unterbehandlung relevant für deutsche Versorgungsqualität</w:t>
      </w:r>
    </w:p>
    <w:p>
      <w:r>
        <w:rPr>
          <w:color w:val="5A7D3A"/>
          <w:sz w:val="18"/>
        </w:rPr>
        <w:t>https://pubmed.ncbi.nlm.nih.gov/42821828/</w:t>
      </w:r>
    </w:p>
    <w:p>
      <w:pPr>
        <w:pStyle w:val="Heading2"/>
      </w:pPr>
      <w:r>
        <w:t>Nivolumab + Ipilimumab + Strahlentherapie in mikrosatellit-stabiler CRC: ORR 10%, aber 25% bei Patienten ohne Lebermetastasen</w:t>
      </w:r>
    </w:p>
    <w:p>
      <w:r>
        <w:rPr>
          <w:i/>
          <w:color w:val="666666"/>
          <w:sz w:val="18"/>
        </w:rPr>
        <w:t>Pappas L et al.  ·  Clin Cancer Res  ·  01.10.2026  ·  PMID 42820689</w:t>
      </w:r>
    </w:p>
    <w:p>
      <w:r>
        <w:t>US-amerikanische Phase-II-Studie zur Kombination von Immune-Checkpoint-Inhibitoren mit nicht-ablativer Strahlentherapie bei refraktärer mikrosatellit-stabiler metastasierter CRC.</w:t>
      </w:r>
    </w:p>
    <w:p>
      <w:r>
        <w:rPr>
          <w:b/>
        </w:rPr>
        <w:t xml:space="preserve">Ergebnis: </w:t>
      </w:r>
      <w:r>
        <w:t>30 Patienten eingeschlossen: Gesamtansprechrate 10,0%, Krankheitskontrollrate 33,3% (unbestrahlte Läsionen). Bei Patienten ohne aktive Lebermetastasen (n=8) ORR 25%, bei Lebermetastasen (n=22) ORR 4,6%. Mediane PFS 2,4 Monate, mediane OS 12,8 Monate (95% KI 6,8–17,9). Nur 10% Grad-4-Toxizität (Lymphopenie).</w:t>
      </w:r>
    </w:p>
    <w:p>
      <w:r>
        <w:rPr>
          <w:b/>
          <w:sz w:val="19"/>
        </w:rPr>
        <w:t xml:space="preserve">Übertragbarkeit: </w:t>
      </w:r>
      <w:r>
        <w:rPr>
          <w:sz w:val="19"/>
        </w:rPr>
        <w:t>USA-Zentren, Mechanismus (Strahlentherapie + ICI) auf deutsche Zentren übertragbar</w:t>
      </w:r>
    </w:p>
    <w:p>
      <w:r>
        <w:rPr>
          <w:color w:val="5A7D3A"/>
          <w:sz w:val="18"/>
        </w:rPr>
        <w:t>https://pubmed.ncbi.nlm.nih.gov/42820689/</w:t>
      </w:r>
    </w:p>
    <w:p>
      <w:pPr>
        <w:pStyle w:val="Heading2"/>
      </w:pPr>
      <w:r>
        <w:t>TROP2-ADC F0024 in triple-negativer Brustkrebs: ORR 37,9% bei 10 mg/kg, mediane PFS 10,5 Monate</w:t>
      </w:r>
    </w:p>
    <w:p>
      <w:r>
        <w:rPr>
          <w:i/>
          <w:color w:val="666666"/>
          <w:sz w:val="18"/>
        </w:rPr>
        <w:t>Du Y et al.  ·  Eur J Cancer  ·  24.09.2026  ·  PMID 42810148</w:t>
      </w:r>
    </w:p>
    <w:p>
      <w:r>
        <w:t>Phase-I-Studie mit Dosisexpansion eines TROP2-gerichteten Antikörper-Wirkstoff-Konjugats in fortgeschrittenen Tumoren, Fokus triple-negative Brustkrebs (TNBC).</w:t>
      </w:r>
    </w:p>
    <w:p>
      <w:r>
        <w:rPr>
          <w:b/>
        </w:rPr>
        <w:t xml:space="preserve">Ergebnis: </w:t>
      </w:r>
      <w:r>
        <w:t>Bei 10 mg/kg (empfohlene Phase-II-Dosis): ORR 37,9%, mediane PFS 10,5 Monate in TNBC-Kohorte (n=29). Grad-≥3-Nebenwirkungen bei 57,7% (vorwiegend Hämatotoxizität). Dosiseskalation bei 15 mg/kg wegen kumulativer Toxizität gestoppt.</w:t>
      </w:r>
    </w:p>
    <w:p>
      <w:r>
        <w:rPr>
          <w:b/>
          <w:sz w:val="19"/>
        </w:rPr>
        <w:t xml:space="preserve">Übertragbarkeit: </w:t>
      </w:r>
      <w:r>
        <w:rPr>
          <w:sz w:val="19"/>
        </w:rPr>
        <w:t>China, aber Wirkmuster und Sicherheitsprofil für Phase-II-Planung international relevant</w:t>
      </w:r>
    </w:p>
    <w:p>
      <w:r>
        <w:rPr>
          <w:color w:val="5A7D3A"/>
          <w:sz w:val="18"/>
        </w:rPr>
        <w:t>https://pubmed.ncbi.nlm.nih.gov/42810148/</w:t>
      </w:r>
    </w:p>
    <w:p>
      <w:pPr>
        <w:pStyle w:val="Heading2"/>
      </w:pPr>
      <w:r>
        <w:t>Zugang zu klinischen Studien bei Nierenzellkarzinom: Innovation erreicht unterversorgte Gemeinschaften nicht</w:t>
      </w:r>
    </w:p>
    <w:p>
      <w:r>
        <w:rPr>
          <w:i/>
          <w:color w:val="666666"/>
          <w:sz w:val="18"/>
        </w:rPr>
        <w:t>Nandakumar V et al.  ·  JCO Oncol Pract  ·  29.09.2026  ·  PMID 42809806</w:t>
      </w:r>
    </w:p>
    <w:p>
      <w:r>
        <w:t>Qualitative Analyse der Barrieren für den Zugang zu klinischen Studien bei Nierenzellkarzinom in den USA, mit Fokus auf strukturelle und sozioökonomische Ungleichheiten.</w:t>
      </w:r>
    </w:p>
    <w:p>
      <w:r>
        <w:rPr>
          <w:b/>
        </w:rPr>
        <w:t xml:space="preserve">Ergebnis: </w:t>
      </w:r>
      <w:r>
        <w:t>Identifizierte Schlüsselbarrieren: geografische Distanz, finanzielle Belastung, mangelnde Informationen, Transportprobleme und systeminterne Aufnahmekriterien. Unterrepräsentierte Patienten hatten deutlich niedrigere Teilnahmeraten. Patienten in ländlichen Gegenden und mit niedrigerem Einkommen waren systematisch ausgeschlossen.</w:t>
      </w:r>
    </w:p>
    <w:p>
      <w:r>
        <w:rPr>
          <w:b/>
          <w:sz w:val="19"/>
        </w:rPr>
        <w:t xml:space="preserve">Übertragbarkeit: </w:t>
      </w:r>
      <w:r>
        <w:rPr>
          <w:sz w:val="19"/>
        </w:rPr>
        <w:t>USA-System, aber Erkenntnisse zu Zugangsungleichheiten gelten teilweise für deutsche Versorgungsregionen</w:t>
      </w:r>
    </w:p>
    <w:p>
      <w:r>
        <w:rPr>
          <w:color w:val="5A7D3A"/>
          <w:sz w:val="18"/>
        </w:rPr>
        <w:t>https://pubmed.ncbi.nlm.nih.gov/42809806/</w:t>
      </w:r>
    </w:p>
    <w:p>
      <w:pPr>
        <w:pStyle w:val="Heading2"/>
      </w:pPr>
      <w:r>
        <w:t>Sentinelbiopsie nach Neoadjuvanz bei lokal fortgeschrittener Brustkrebs: Falsch-negativ-Rate 2,1%</w:t>
      </w:r>
    </w:p>
    <w:p>
      <w:r>
        <w:rPr>
          <w:i/>
          <w:color w:val="666666"/>
          <w:sz w:val="18"/>
        </w:rPr>
        <w:t>Barrio AV et al.  ·  J Clin Oncol  ·  29.09.2026  ·  PMID 42809799</w:t>
      </w:r>
    </w:p>
    <w:p>
      <w:r>
        <w:t>Prospektive US-amerikanische Studie zum Staging der Axilla mittels Sentinelbiopsie nach neoadjuvanter Chemotherapie bei Patientinnen mit lokal fortgeschrittenem Brustkrebs (cT4/cN2-N3).</w:t>
      </w:r>
    </w:p>
    <w:p>
      <w:r>
        <w:rPr>
          <w:b/>
        </w:rPr>
        <w:t xml:space="preserve">Ergebnis: </w:t>
      </w:r>
      <w:r>
        <w:t>Von 145 Patienten wurden 87 mit adäquatem Mapping ausgewertet; Sentinelknoten wurden in 74% identifiziert. Falsch-negativ-Rate 2,1% (95% KI 0,1–12,7%), pathologische komplette Response 46%, nur 1 falsch-negativ in 47 Patienten mit Resterkrankung.</w:t>
      </w:r>
    </w:p>
    <w:p>
      <w:r>
        <w:rPr>
          <w:b/>
          <w:sz w:val="19"/>
        </w:rPr>
        <w:t xml:space="preserve">Übertragbarkeit: </w:t>
      </w:r>
      <w:r>
        <w:rPr>
          <w:sz w:val="19"/>
        </w:rPr>
        <w:t>USA-Zentren, aber Sentinelbiopsie-Standard übertragbar auf deutsche Zentren</w:t>
      </w:r>
    </w:p>
    <w:p>
      <w:r>
        <w:rPr>
          <w:color w:val="5A7D3A"/>
          <w:sz w:val="18"/>
        </w:rPr>
        <w:t>https://pubmed.ncbi.nlm.nih.gov/42809799/</w:t>
      </w:r>
    </w:p>
    <w:p>
      <w:pPr>
        <w:pStyle w:val="Heading1"/>
      </w:pPr>
      <w:r>
        <w:t>Aufgenommen am 04.10.2026</w:t>
      </w:r>
    </w:p>
    <w:p>
      <w:pPr>
        <w:pStyle w:val="Heading2"/>
      </w:pPr>
      <w:r>
        <w:t>Urin-cfRNA detektiert Blasenkrebs mit 95% Sensitivität, sagt BCG-Response voraus</w:t>
      </w:r>
    </w:p>
    <w:p>
      <w:r>
        <w:rPr>
          <w:i/>
          <w:color w:val="666666"/>
          <w:sz w:val="18"/>
        </w:rPr>
        <w:t>Liu KJ et al.  ·  Nat Med  ·  02.10.2026  ·  PMID 42827132</w:t>
      </w:r>
    </w:p>
    <w:p>
      <w:r>
        <w:t>Prospektive Validierungsstudie einer Liquid-Biopsy-Methode (uRARE-seq) für tumorspezifische RNA-Fragmente im Urin bei 683 Patienten mit und ohne Urogenital-Karzinome.</w:t>
      </w:r>
    </w:p>
    <w:p>
      <w:r>
        <w:rPr>
          <w:b/>
        </w:rPr>
        <w:t xml:space="preserve">Ergebnis: </w:t>
      </w:r>
      <w:r>
        <w:t>Für lokalisiertes Blasenkarzinom: 95% Sensitivität bei 90% Spezifität. Urin-cfRNA übertraf tumor-DNA-Analyse und war unaffiziert von Feldeffekt-Mutationen. Biomarker in Urin vor BCG-Therapie (Area-under-the-Curve 0,93) sagte BCG-Response voraus: Responder zeigten T-Zell- und Immun-Signaturen, Nicht-Responder Proliferations-Gene. Minimal Residual Disease wurde sensitiv detektiert. Ein Ansatz mit klinischem Nutzenpotential für Blasenkarzinom-Stratifizierung.</w:t>
      </w:r>
    </w:p>
    <w:p>
      <w:r>
        <w:rPr>
          <w:b/>
          <w:sz w:val="19"/>
        </w:rPr>
        <w:t xml:space="preserve">Übertragbarkeit: </w:t>
      </w:r>
      <w:r>
        <w:rPr>
          <w:sz w:val="19"/>
        </w:rPr>
        <w:t>USA-basierte Studie; Liquid-Biopsy-Methode technisch übertragbar, prospektive Validierung erforderlich.</w:t>
      </w:r>
    </w:p>
    <w:p>
      <w:r>
        <w:rPr>
          <w:color w:val="5A7D3A"/>
          <w:sz w:val="18"/>
        </w:rPr>
        <w:t>https://pubmed.ncbi.nlm.nih.gov/42827132/</w:t>
      </w:r>
    </w:p>
    <w:p>
      <w:pPr>
        <w:pStyle w:val="Heading2"/>
      </w:pPr>
      <w:r>
        <w:t>Ibrutinib-Venetoclax senkt Gesamtüberleben bei älteren CLL-Patienten deutlich</w:t>
      </w:r>
    </w:p>
    <w:p>
      <w:r>
        <w:rPr>
          <w:i/>
          <w:color w:val="666666"/>
          <w:sz w:val="18"/>
        </w:rPr>
        <w:t>U Niemann C et al.  ·  Leukemia  ·  02.10.2026  ·  PMID 42827117</w:t>
      </w:r>
    </w:p>
    <w:p>
      <w:r>
        <w:t>Randomisierte Phase-III-Studie (GLOW) verglich Ibrutinib-Venetoclax mit Chlorambucil-Obinutuzumab bei älteren/komorbiditätsbelasteten CLL-Patienten mit 67-Monat-Nachverfolgung.</w:t>
      </w:r>
    </w:p>
    <w:p>
      <w:r>
        <w:rPr>
          <w:b/>
        </w:rPr>
        <w:t xml:space="preserve">Ergebnis: </w:t>
      </w:r>
      <w:r>
        <w:t>Gesamtüberleben nach 66 Monaten: 79,0% vs 60,8% (Hazard Ratio 0,46). Ibrutinib-Venetoclax reduzierte das Risiko für Zweitlinientherapie um 77,4%. Progressionsfreies Überleben nach 66 Monaten: 51,7% vs 18,1% (HR 0,27). Grade-3/4-toxizitätsfreies PFS 21,4 Monate länger (51,6 vs 30,2 Monate). Eine klare Überlegenheit für die fixierte Zweierkombination bei älteren Patienten.</w:t>
      </w:r>
    </w:p>
    <w:p>
      <w:r>
        <w:rPr>
          <w:b/>
          <w:sz w:val="19"/>
        </w:rPr>
        <w:t xml:space="preserve">Übertragbarkeit: </w:t>
      </w:r>
      <w:r>
        <w:rPr>
          <w:sz w:val="19"/>
        </w:rPr>
        <w:t>Europäische Multicenterstudie mit HOVON-Zentren, deutschem Versorgungsstandard entsprechend.</w:t>
      </w:r>
    </w:p>
    <w:p>
      <w:r>
        <w:rPr>
          <w:color w:val="5A7D3A"/>
          <w:sz w:val="18"/>
        </w:rPr>
        <w:t>https://pubmed.ncbi.nlm.nih.gov/42827117/</w:t>
      </w:r>
    </w:p>
    <w:p>
      <w:pPr>
        <w:pStyle w:val="Heading2"/>
      </w:pPr>
      <w:r>
        <w:t>Chemotherapie + Krebsimpfstoff: TCF1+-T-Zellen erklären synergistischen Effekt</w:t>
      </w:r>
    </w:p>
    <w:p>
      <w:r>
        <w:rPr>
          <w:i/>
          <w:color w:val="666666"/>
          <w:sz w:val="18"/>
        </w:rPr>
        <w:t>Noblecourt L et al.  ·  Cancer Cell  ·  02.10.2026  ·  PMID 42826713</w:t>
      </w:r>
    </w:p>
    <w:p>
      <w:r>
        <w:t>Präklinische und erste translatorische Studie zur mechanistischen Erklärung, warum Carboplatin-Paclitaxel und Cyclophosphamid die Effizienz von Virus-Vektor-Impfstoffen gegen Tumorantigen erhöhen; Experimente mit Maus- und Patientenzellen.</w:t>
      </w:r>
    </w:p>
    <w:p>
      <w:r>
        <w:rPr>
          <w:b/>
        </w:rPr>
        <w:t xml:space="preserve">Ergebnis: </w:t>
      </w:r>
      <w:r>
        <w:t>Carboplatin-Paclitaxel induziert frühe, antigen-unabhängige Expansion von Stamm-ähnlichen TCF1+CD8+-T-Zellen. Genetische oder pharmakologische TCF1-Blockierung hebt den Immunaduvans-Effekt auf. Kombinationstriple (Vakzin + CarboTaxol + PD-1-Blockade) verbessert Tumorkon trolle und Überleben in Mausmodellen stärker als Einzelbehandlungen. Der TCF1-abhängige Mechanismus erklärt Synergie und identifiziert neue Kombinationsstrategien für klinische Evaluation.</w:t>
      </w:r>
    </w:p>
    <w:p>
      <w:r>
        <w:rPr>
          <w:b/>
          <w:sz w:val="19"/>
        </w:rPr>
        <w:t xml:space="preserve">Übertragbarkeit: </w:t>
      </w:r>
      <w:r>
        <w:rPr>
          <w:sz w:val="19"/>
        </w:rPr>
        <w:t>UK/Niederlande-Kohorte, mechanistisches Verständnis transkulturell relevant für Impfstoff-Kombinationen.</w:t>
      </w:r>
    </w:p>
    <w:p>
      <w:r>
        <w:rPr>
          <w:color w:val="5A7D3A"/>
          <w:sz w:val="18"/>
        </w:rPr>
        <w:t>https://pubmed.ncbi.nlm.nih.gov/42826713/</w:t>
      </w:r>
    </w:p>
    <w:p>
      <w:pPr>
        <w:pStyle w:val="Heading2"/>
      </w:pPr>
      <w:r>
        <w:t>ERBB2-Mutationen in Lungenkarzinom: Heterogenität und Trastuzumab-Deruxtecan-Benefit</w:t>
      </w:r>
    </w:p>
    <w:p>
      <w:r>
        <w:rPr>
          <w:i/>
          <w:color w:val="666666"/>
          <w:sz w:val="18"/>
        </w:rPr>
        <w:t>Yamashita M et al.  ·  Eur J Cancer  ·  29.09.2026  ·  PMID 42826440</w:t>
      </w:r>
    </w:p>
    <w:p>
      <w:r>
        <w:t>Japanische Real-World-Kohorte von 319 Patienten mit ERBB2-aktivierenden Mutationen im NSCLC mittels Genomik-Datenbank untersucht.</w:t>
      </w:r>
    </w:p>
    <w:p>
      <w:r>
        <w:rPr>
          <w:b/>
        </w:rPr>
        <w:t xml:space="preserve">Ergebnis: </w:t>
      </w:r>
      <w:r>
        <w:t>74% hatten kanonische Tyrosinkinase-Domänen-Insertionen; 26% nonkanonische Varianten (TKD-Missense 8%, transmembran 10%, extrazelluläre Domäne 8%). Co-driver-Alterationen in nur 5,6% (überwiegend nonkanonisch). 27% der 288 Patienten (78 von 288) erhielten Trastuzumab-Deruxtecan; time-abhängige T-DXd-Exposition assoziiert mit reduziertem Mortalitätsrisiko (adjusted HR 0,63; 95% KI 0,39-1,01; p=0,057). Wesentliche molekulare Heterogenität mit therapeutischen Implikationen.</w:t>
      </w:r>
    </w:p>
    <w:p>
      <w:r>
        <w:rPr>
          <w:b/>
          <w:sz w:val="19"/>
        </w:rPr>
        <w:t xml:space="preserve">Übertragbarkeit: </w:t>
      </w:r>
      <w:r>
        <w:rPr>
          <w:sz w:val="19"/>
        </w:rPr>
        <w:t>Japan, vergleichbare Genomik-Strukturen; Trastuzumab-Deruxtecan in Deutschland verfügbar.</w:t>
      </w:r>
    </w:p>
    <w:p>
      <w:r>
        <w:rPr>
          <w:color w:val="5A7D3A"/>
          <w:sz w:val="18"/>
        </w:rPr>
        <w:t>https://pubmed.ncbi.nlm.nih.gov/42826440/</w:t>
      </w:r>
    </w:p>
    <w:p>
      <w:pPr>
        <w:pStyle w:val="Heading2"/>
      </w:pPr>
      <w:r>
        <w:t>Tirabrutinib für rezidivertes primäres ZNS-Lymphom: 67% Ansprechquote, rascher Wirkeintritt</w:t>
      </w:r>
    </w:p>
    <w:p>
      <w:r>
        <w:rPr>
          <w:i/>
          <w:color w:val="666666"/>
          <w:sz w:val="18"/>
        </w:rPr>
        <w:t>Grommes C et al.  ·  Blood  ·  01.10.2026  ·  PMID 42821736</w:t>
      </w:r>
    </w:p>
    <w:p>
      <w:r>
        <w:t>Phase-1b/2-Studie zu dem BTK-Inhibitor Tirabrutinib als Monotherapie bei 48 Patienten mit rezidiviertem/refraktärem pCNSL nach Hochdosis-Methotrexat-Vorbehandlung.</w:t>
      </w:r>
    </w:p>
    <w:p>
      <w:r>
        <w:rPr>
          <w:b/>
        </w:rPr>
        <w:t xml:space="preserve">Ergebnis: </w:t>
      </w:r>
      <w:r>
        <w:t>Objektive Ansprechquote 67% (95% KI 52–80%), vollständige Remission 44% (95% KI 29–59%). Mediane Ansprechdauer 9,3 Monate (95% KI 4,6–14,6), mediane Zeit bis Ansprechen 1,0 Monat. Treatment-related adverse events in 75% (häufig Anämie 19%, Ausschlag 17%, Fatigue 15%), Grade-≥3 in 27% (Neutropenie 8%). Ein behandelbares Toxizitätsprofil für rare Indikation mit hohem ungedecktem Bedarf.</w:t>
      </w:r>
    </w:p>
    <w:p>
      <w:r>
        <w:rPr>
          <w:b/>
          <w:sz w:val="19"/>
        </w:rPr>
        <w:t xml:space="preserve">Übertragbarkeit: </w:t>
      </w:r>
      <w:r>
        <w:rPr>
          <w:sz w:val="19"/>
        </w:rPr>
        <w:t>USA-Studie, BTK-Inhibitor-Klasse europaweit verfügbar; Zentrumserfordernis für pCNSL-Versorgung prüfen.</w:t>
      </w:r>
    </w:p>
    <w:p>
      <w:r>
        <w:rPr>
          <w:color w:val="5A7D3A"/>
          <w:sz w:val="18"/>
        </w:rPr>
        <w:t>https://pubmed.ncbi.nlm.nih.gov/42821736/</w:t>
      </w:r>
    </w:p>
    <w:p>
      <w:pPr>
        <w:pStyle w:val="Heading2"/>
      </w:pPr>
      <w:r>
        <w:t>Leitlinie Multiples Myelom 2026 – kontinuierliche Aktualisierung basierend auf neuer Evidenz</w:t>
      </w:r>
    </w:p>
    <w:p>
      <w:r>
        <w:rPr>
          <w:i/>
          <w:color w:val="666666"/>
          <w:sz w:val="18"/>
        </w:rPr>
        <w:t>Banerjee R et al.  ·  J Clin Oncol  ·  30.09.2026  ·  PMID 42814948</w:t>
      </w:r>
    </w:p>
    <w:p>
      <w:r>
        <w:t>ASCO Living Guideline für Behandlung des Multiplen Myeloms mit regelmäßigen Aktualisierungen durch Expertengruppe bei schnell wechselnder Evidenz.</w:t>
      </w:r>
    </w:p>
    <w:p>
      <w:r>
        <w:rPr>
          <w:b/>
        </w:rPr>
        <w:t xml:space="preserve">Ergebnis: </w:t>
      </w:r>
      <w:r>
        <w:t>Leitlinie wird kontinuierlich aktualisiert; konkrete Therapie-Empfehlungen folgen Systematische-Review-Prozeduren und werden mindestens jährlich überprüft. Die aktuelle Version 2026.1.3 berücksichtigt neue Kombinationsprotokolle, CAR-T und zielgerichtete Therapien mit prognose-adaptiven Strategien für Risiko-Stratifizierung.</w:t>
      </w:r>
    </w:p>
    <w:p>
      <w:r>
        <w:rPr>
          <w:b/>
          <w:sz w:val="19"/>
        </w:rPr>
        <w:t xml:space="preserve">Übertragbarkeit: </w:t>
      </w:r>
      <w:r>
        <w:rPr>
          <w:sz w:val="19"/>
        </w:rPr>
        <w:t>USA-ASCO-Guideline; weit überwiegend international anwendbar, Dosierungen/Verfügbarkeiten lokal zu prüfen.</w:t>
      </w:r>
    </w:p>
    <w:p>
      <w:r>
        <w:rPr>
          <w:color w:val="5A7D3A"/>
          <w:sz w:val="18"/>
        </w:rPr>
        <w:t>https://pubmed.ncbi.nlm.nih.gov/42814948/</w:t>
      </w:r>
    </w:p>
    <w:p>
      <w:pPr>
        <w:pStyle w:val="Heading2"/>
      </w:pPr>
      <w:r>
        <w:t>Aglatimagene bei lokalisiertem Prostatakarzinom: kritische Neubeobachtung</w:t>
      </w:r>
    </w:p>
    <w:p>
      <w:r>
        <w:rPr>
          <w:i/>
          <w:color w:val="666666"/>
          <w:sz w:val="18"/>
        </w:rPr>
        <w:t>Büttner T et al.  ·  Lancet Oncol  ·  Okt. 2026  ·  PMID 42805200</w:t>
      </w:r>
    </w:p>
    <w:p>
      <w:r>
        <w:t>Kommentar deutschsprachiger Urologen zur Neubewertung des Viren-Therapiestoffs Aglatimagene bei lokalisiertem Prostatakarzinom.</w:t>
      </w:r>
    </w:p>
    <w:p>
      <w:r>
        <w:rPr>
          <w:b/>
        </w:rPr>
        <w:t xml:space="preserve">Ergebnis: </w:t>
      </w:r>
      <w:r>
        <w:t>Keine konkreten Endpunkte im Abstract; die Arbeit erörtert Limitationen bisheriger Daten zu einer experimentellen Therapie mit unklarer klinischer Rolle. Die Autoren fordern Klärung vor breiter Anwendung.</w:t>
      </w:r>
    </w:p>
    <w:p>
      <w:r>
        <w:rPr>
          <w:b/>
          <w:sz w:val="19"/>
        </w:rPr>
        <w:t xml:space="preserve">Übertragbarkeit: </w:t>
      </w:r>
      <w:r>
        <w:rPr>
          <w:sz w:val="19"/>
        </w:rPr>
        <w:t>Deutschland (Bonn, Erlangen), deutsches Versorgungssystem betroffen.</w:t>
      </w:r>
    </w:p>
    <w:p>
      <w:r>
        <w:rPr>
          <w:color w:val="5A7D3A"/>
          <w:sz w:val="18"/>
        </w:rPr>
        <w:t>https://pubmed.ncbi.nlm.nih.gov/42805200/</w:t>
      </w:r>
    </w:p>
    <w:p>
      <w:pPr>
        <w:pStyle w:val="Heading1"/>
      </w:pPr>
      <w:r>
        <w:t>Aufgenommen am 03.10.2026</w:t>
      </w:r>
    </w:p>
    <w:p>
      <w:pPr>
        <w:pStyle w:val="Heading2"/>
      </w:pPr>
      <w:r>
        <w:t>Leitlinie Infektionsprophylaxe bei pädiatrischer Onkologie: aktualisierte Empfehlungen</w:t>
      </w:r>
    </w:p>
    <w:p>
      <w:r>
        <w:rPr>
          <w:i/>
          <w:color w:val="666666"/>
          <w:sz w:val="18"/>
        </w:rPr>
        <w:t>Morgan JE et al.  ·  J Clin Oncol  ·  02.10.2026  ·  PMID 42826360</w:t>
      </w:r>
    </w:p>
    <w:p>
      <w:r>
        <w:t>Systematische Überprüfung und Harmonisierung von Leitlinienempfehlungen zur antibakteriellen und antimykotischen Prophylaxe bei Kindern mit Krebs und nach Stammzelltransplantation.</w:t>
      </w:r>
    </w:p>
    <w:p>
      <w:r>
        <w:rPr>
          <w:b/>
        </w:rPr>
        <w:t xml:space="preserve">Ergebnis: </w:t>
      </w:r>
      <w:r>
        <w:t>Starke Empfehlung für Antifungal-Prophylaxe (Echinocandin oder Mold-active Azol) bei AML und allogener Transplantation; konditionale Empfehlung für Antibakteriell-Prophylaxe mit Levofloxacin bei AML und rezidivierter ALL. 13 neue randomisierte Studien seit 2019 identifiziert; insgesamt 195 Studien berücksichtigt.</w:t>
      </w:r>
    </w:p>
    <w:p>
      <w:r>
        <w:rPr>
          <w:b/>
          <w:sz w:val="19"/>
        </w:rPr>
        <w:t xml:space="preserve">Übertragbarkeit: </w:t>
      </w:r>
      <w:r>
        <w:rPr>
          <w:sz w:val="19"/>
        </w:rPr>
        <w:t>Deutschland und europäische Systeme, international konsentiertes Vorgehen</w:t>
      </w:r>
    </w:p>
    <w:p>
      <w:r>
        <w:rPr>
          <w:color w:val="5A7D3A"/>
          <w:sz w:val="18"/>
        </w:rPr>
        <w:t>https://pubmed.ncbi.nlm.nih.gov/42826360/</w:t>
      </w:r>
    </w:p>
    <w:p>
      <w:pPr>
        <w:pStyle w:val="Heading2"/>
      </w:pPr>
      <w:r>
        <w:t>Pembrolizumab-GVD plus Stammzelltransplantation bei rezidiviertem Hodgkin-Lymphom: 5-Jahres-Follow-up</w:t>
      </w:r>
    </w:p>
    <w:p>
      <w:r>
        <w:rPr>
          <w:i/>
          <w:color w:val="666666"/>
          <w:sz w:val="18"/>
        </w:rPr>
        <w:t>Patel K et al.  ·  Blood  ·  08.09.2026  ·  PMID 42825495</w:t>
      </w:r>
    </w:p>
    <w:p>
      <w:r>
        <w:t>Phase-2-Studie bei transplantationsgeeigneten Patienten mit rezidiviertem/refraktärem Hodgkin-Lymphom: Pembrolizumab plus Gemcitabin/Vinorelbine/liposomales Doxorubicin gefolgt von Hochdosis-Chemotherapie mit autologer Stammzellrescue.</w:t>
      </w:r>
    </w:p>
    <w:p>
      <w:r>
        <w:rPr>
          <w:b/>
        </w:rPr>
        <w:t xml:space="preserve">Ergebnis: </w:t>
      </w:r>
      <w:r>
        <w:t>Komplettremissionsrate 95% nach bis zu 4 Zyklen Pembrolizumab-GVD. Nach Median 57 Monaten: geschätzte 5-Jahres-PFS 91%, Gesamtüberleben 94%. Nur 1 Rezidiv nach Protokoll-Therapie, 2 therapieassoziierte Todesfälle. Keine neuen Sicherheitssignale.</w:t>
      </w:r>
    </w:p>
    <w:p>
      <w:r>
        <w:rPr>
          <w:b/>
          <w:sz w:val="19"/>
        </w:rPr>
        <w:t xml:space="preserve">Übertragbarkeit: </w:t>
      </w:r>
      <w:r>
        <w:rPr>
          <w:sz w:val="19"/>
        </w:rPr>
        <w:t>USA-basiert, aber intensive Chemotherapie + Immuntherapie + Transplantation ist in deutschen Zentren etabliert</w:t>
      </w:r>
    </w:p>
    <w:p>
      <w:r>
        <w:rPr>
          <w:color w:val="5A7D3A"/>
          <w:sz w:val="18"/>
        </w:rPr>
        <w:t>https://pubmed.ncbi.nlm.nih.gov/42825495/</w:t>
      </w:r>
    </w:p>
    <w:p>
      <w:pPr>
        <w:pStyle w:val="Heading2"/>
      </w:pPr>
      <w:r>
        <w:t>Tuberkulose-Netzwerk als Werkzeug für frühe Lungenkrebserkennung: Modell Brasilien</w:t>
      </w:r>
    </w:p>
    <w:p>
      <w:r>
        <w:rPr>
          <w:i/>
          <w:color w:val="666666"/>
          <w:sz w:val="18"/>
        </w:rPr>
        <w:t>Gruber K  ·  Lancet Oncol  ·  01.10.2026  ·  PMID 42822486</w:t>
      </w:r>
    </w:p>
    <w:p>
      <w:r>
        <w:t>Bericht über das Potenzial, bestehende Tuberkulose-Überwachungssysteme in Brasilien für die Frühdiagnose von Lungenkrebs zu nutzen.</w:t>
      </w:r>
    </w:p>
    <w:p>
      <w:r>
        <w:rPr>
          <w:b/>
        </w:rPr>
        <w:t xml:space="preserve">Ergebnis: </w:t>
      </w:r>
      <w:r>
        <w:t>TB-Netzwerk mit etablierten Screening- und Diagnostik-Strukturen könnte Lungenkrebserkennung beschleunigen; bisherige Aktivitäten und Barrieren werden erörtert, ohne quantitative Endpunkte.</w:t>
      </w:r>
    </w:p>
    <w:p>
      <w:r>
        <w:rPr>
          <w:b/>
          <w:sz w:val="19"/>
        </w:rPr>
        <w:t xml:space="preserve">Übertragbarkeit: </w:t>
      </w:r>
      <w:r>
        <w:rPr>
          <w:sz w:val="19"/>
        </w:rPr>
        <w:t>Niedrig-Ressourcen-Länder, für Deutschland ohne unmittelbare Anwendung</w:t>
      </w:r>
    </w:p>
    <w:p>
      <w:r>
        <w:rPr>
          <w:color w:val="5A7D3A"/>
          <w:sz w:val="18"/>
        </w:rPr>
        <w:t>https://pubmed.ncbi.nlm.nih.gov/42822486/</w:t>
      </w:r>
    </w:p>
    <w:p>
      <w:pPr>
        <w:pStyle w:val="Heading2"/>
      </w:pPr>
      <w:r>
        <w:t>Androgen-Rezeptor-Inhibitoren bessern PFS bei metastasiertem hormonsensitivem Prostatakarzinom</w:t>
      </w:r>
    </w:p>
    <w:p>
      <w:r>
        <w:rPr>
          <w:i/>
          <w:color w:val="666666"/>
          <w:sz w:val="18"/>
        </w:rPr>
        <w:t>Nwogu IB et al.  ·  JCO Oncol Pract  ·  01.10.2026  ·  PMID 42821836</w:t>
      </w:r>
    </w:p>
    <w:p>
      <w:r>
        <w:t>Real-World-Vergleichsstudie von Abiraterone, Apalutamide, Enzalutamide und Docetaxel je mit ADT bei metastasiertem hormonsensitivem Prostatakarzinom (mHSPC) in den USA 2019–2023.</w:t>
      </w:r>
    </w:p>
    <w:p>
      <w:r>
        <w:rPr>
          <w:b/>
        </w:rPr>
        <w:t xml:space="preserve">Ergebnis: </w:t>
      </w:r>
      <w:r>
        <w:t>Unter 9.141 Männern: ARPI-Dubletten zeigten gegenüber Docetaxel-Dubletten überlegene PFS (Abiraterone: aHR 0,60 [95% CI 0,55–0,66]; Apalutamide: aHR 0,64; Enzalutamide: aHR 0,57). Gesamtüberleben vergleichbar. TTP und Zeit bis neue Therapie ebenfalls besser unter ARPIs. Keine Unterschiede zwischen den ARPIs.</w:t>
      </w:r>
    </w:p>
    <w:p>
      <w:r>
        <w:rPr>
          <w:b/>
          <w:sz w:val="19"/>
        </w:rPr>
        <w:t xml:space="preserve">Übertragbarkeit: </w:t>
      </w:r>
      <w:r>
        <w:rPr>
          <w:sz w:val="19"/>
        </w:rPr>
        <w:t>USA-Gesundheitssystem mit unterschiedlicher Finanzierung, Ergebnis (ARPI-Überlegenheit) ist aber geräteunabhängig übertragbar</w:t>
      </w:r>
    </w:p>
    <w:p>
      <w:r>
        <w:rPr>
          <w:color w:val="5A7D3A"/>
          <w:sz w:val="18"/>
        </w:rPr>
        <w:t>https://pubmed.ncbi.nlm.nih.gov/42821836/</w:t>
      </w:r>
    </w:p>
    <w:p>
      <w:pPr>
        <w:pStyle w:val="Heading2"/>
      </w:pPr>
      <w:r>
        <w:t>Platinchemoresistentes Ovarialkarzinom: Behandlungsintensivierung verbessert Remissionsraten</w:t>
      </w:r>
    </w:p>
    <w:p>
      <w:r>
        <w:rPr>
          <w:i/>
          <w:color w:val="666666"/>
          <w:sz w:val="18"/>
        </w:rPr>
        <w:t>You B et al.  ·  JAMA Oncol  ·  01.10.2026  ·  PMID 42821287</w:t>
      </w:r>
    </w:p>
    <w:p>
      <w:r>
        <w:t>Systematische Übersicht über Strategien zur Chemosensitivierung bei schlecht chemosensitivem fortgeschrittenem serösen Ovarialkarzinom anhand von retrospektiven Post-hoc-Analysen prospektiver Phase-3-Studien.</w:t>
      </w:r>
    </w:p>
    <w:p>
      <w:r>
        <w:rPr>
          <w:b/>
        </w:rPr>
        <w:t xml:space="preserve">Ergebnis: </w:t>
      </w:r>
      <w:r>
        <w:t>Wöchentlich dosiertes Paclitaxel zeigte in der "2 red flags"-Subgruppe (schlechte Chemosensitivität) der ICON-8-Studie verbesserte Überlebensergebnisse. Bevacizumab addiert zu neoadjuvanter Chemotherapie oder Standardchemotherapie: Überlebenssignale in hochrisiko- und schlecht chemosensitiven Subgruppen. Phase-3-Studien SALVOVAR und Phase-1/2-Studie RegeNovar laufen prospektiv.</w:t>
      </w:r>
    </w:p>
    <w:p>
      <w:r>
        <w:rPr>
          <w:b/>
          <w:sz w:val="19"/>
        </w:rPr>
        <w:t xml:space="preserve">Übertragbarkeit: </w:t>
      </w:r>
      <w:r>
        <w:rPr>
          <w:sz w:val="19"/>
        </w:rPr>
        <w:t>Europäische Studienstandorte und ESMO-Guidelines, Therapiesequenzierung in deutschen Tumorzentren relevant</w:t>
      </w:r>
    </w:p>
    <w:p>
      <w:r>
        <w:rPr>
          <w:color w:val="5A7D3A"/>
          <w:sz w:val="18"/>
        </w:rPr>
        <w:t>https://pubmed.ncbi.nlm.nih.gov/42821287/</w:t>
      </w:r>
    </w:p>
    <w:p>
      <w:pPr>
        <w:pStyle w:val="Heading2"/>
      </w:pPr>
      <w:r>
        <w:t>Genomische Instabilität treibt gegensätzliche Immunantworten: Mechanismus für Immuntherapie-Resistenz</w:t>
      </w:r>
    </w:p>
    <w:p>
      <w:r>
        <w:rPr>
          <w:i/>
          <w:color w:val="666666"/>
          <w:sz w:val="18"/>
        </w:rPr>
        <w:t>Alouani E et al.  ·  Cancer Discov  ·  01.10.2026  ·  PMID 42817715</w:t>
      </w:r>
    </w:p>
    <w:p>
      <w:r>
        <w:t>Übersichtsarbeit zu zwei Formen genomischer Instabilität: Mutationsinstabilität versus Chromosomeninstabilität und deren gegensätzliche Effekte auf Tumor-Immunität.</w:t>
      </w:r>
    </w:p>
    <w:p>
      <w:r>
        <w:rPr>
          <w:b/>
        </w:rPr>
        <w:t xml:space="preserve">Ergebnis: </w:t>
      </w:r>
      <w:r>
        <w:t>Hypermutierte Tumoren generieren Neoantigene und sind sensibel für Checkpoint-Blockade. Chromosomeninstabilität triggert chronische angeborene Immunaktivierung mit Immunsuppression durch Myeloid- und T-Zell-Dysfunktion. Diese gegensätzlichen Mechanismen erfordern unterschiedliche Immuntherapie-Strategien.</w:t>
      </w:r>
    </w:p>
    <w:p>
      <w:r>
        <w:rPr>
          <w:b/>
          <w:sz w:val="19"/>
        </w:rPr>
        <w:t xml:space="preserve">Übertragbarkeit: </w:t>
      </w:r>
      <w:r>
        <w:rPr>
          <w:sz w:val="19"/>
        </w:rPr>
        <w:t>Grundlagenarbeit zur Immuntherapie-Resistenz, Basis für Stratifizierungsansätze in der Praxis</w:t>
      </w:r>
    </w:p>
    <w:p>
      <w:r>
        <w:rPr>
          <w:color w:val="5A7D3A"/>
          <w:sz w:val="18"/>
        </w:rPr>
        <w:t>https://pubmed.ncbi.nlm.nih.gov/42817715/</w:t>
      </w:r>
    </w:p>
    <w:p>
      <w:pPr>
        <w:pStyle w:val="Heading1"/>
      </w:pPr>
      <w:r>
        <w:t>Aufgenommen am 02.10.2026</w:t>
      </w:r>
    </w:p>
    <w:p>
      <w:pPr>
        <w:pStyle w:val="Heading2"/>
      </w:pPr>
      <w:r>
        <w:t>Stereotaktische MRT-gesteuerte adaptive Strahlentherapie verbessert Lokalkontrolle bei fortgeschrittenem Pankreaskarzinom</w:t>
      </w:r>
    </w:p>
    <w:p>
      <w:r>
        <w:rPr>
          <w:i/>
          <w:color w:val="666666"/>
          <w:sz w:val="18"/>
        </w:rPr>
        <w:t>Hartfelt PB et al.  ·  Radiother Oncol  ·  01.10.2026  ·  PMID 42822782</w:t>
      </w:r>
    </w:p>
    <w:p>
      <w:r>
        <w:t>Prospektive Studie zur MRT-gesteuerten adaptiven Strahlentherapie (SMART) bei 118 Patienten mit lokal fortgeschrittenem Pankreaskarzinom (50 Gy/5 Fraktionen).</w:t>
      </w:r>
    </w:p>
    <w:p>
      <w:r>
        <w:rPr>
          <w:b/>
        </w:rPr>
        <w:t xml:space="preserve">Ergebnis: </w:t>
      </w:r>
      <w:r>
        <w:t>Medianes Gesamtüberleben 13,2 Monate ab Therapiestart (95%-CI 10,4–15,9), 2-Jahres-Überleben 23,9%. Lokale Progression bei 15,0% nach 1 Jahr und 22,2% nach 2 Jahren. Akute Grad-≥III-Toxizität bei 5,4%, späte bei 3,2%. Fernprogression war dominantes Versagensmus ter.</w:t>
      </w:r>
    </w:p>
    <w:p>
      <w:r>
        <w:rPr>
          <w:b/>
          <w:sz w:val="19"/>
        </w:rPr>
        <w:t xml:space="preserve">Übertragbarkeit: </w:t>
      </w:r>
      <w:r>
        <w:rPr>
          <w:sz w:val="19"/>
        </w:rPr>
        <w:t>Dänemark (Odense), vergleichbares europäisches Gesundheitssystem, Technologie in deutschen Zentren verfügbar.</w:t>
      </w:r>
    </w:p>
    <w:p>
      <w:r>
        <w:rPr>
          <w:color w:val="5A7D3A"/>
          <w:sz w:val="18"/>
        </w:rPr>
        <w:t>https://pubmed.ncbi.nlm.nih.gov/42822782/</w:t>
      </w:r>
    </w:p>
    <w:p>
      <w:pPr>
        <w:pStyle w:val="Heading2"/>
      </w:pPr>
      <w:r>
        <w:t>Hohe SMAD4-Expression prognostiziert besseres Überleben nach Pankreaskarzinom-Resektion</w:t>
      </w:r>
    </w:p>
    <w:p>
      <w:r>
        <w:rPr>
          <w:i/>
          <w:color w:val="666666"/>
          <w:sz w:val="18"/>
        </w:rPr>
        <w:t>Williams TM et al.  ·  Int J Radiat Oncol Biol Phys  ·  01.10.2026  ·  PMID 42822544</w:t>
      </w:r>
    </w:p>
    <w:p>
      <w:r>
        <w:t>Biomarker-Analyse von 141 Tumorproben aus der Phase-III-Studie RTOG 9704 zur SMAD4-Expression und Überleben nach adjuvanter Chemoradiotherapie.</w:t>
      </w:r>
    </w:p>
    <w:p>
      <w:r>
        <w:rPr>
          <w:b/>
        </w:rPr>
        <w:t xml:space="preserve">Ergebnis: </w:t>
      </w:r>
      <w:r>
        <w:t>Hohe SMAD4-Expression assoziiert mit verbessertem rezidivfreiem Überleben (HR 0,68, 95%-CI 0,48–0,97, p=0,03) und Gesamtüberleben (HR 0,69, 95%-CI 0,48–0,99, p=0,04). Fernmetastasen-Risiko gesenkt (HR 0,69, p=0,048). Multivariable Analyse bestätigte unabhängige Assoziation für rezidivfreies Überleben (HR 0,66, p=0,03) und Fernmetastasen (HR 0,68, p=0,052).</w:t>
      </w:r>
    </w:p>
    <w:p>
      <w:r>
        <w:rPr>
          <w:b/>
          <w:sz w:val="19"/>
        </w:rPr>
        <w:t xml:space="preserve">Übertragbarkeit: </w:t>
      </w:r>
      <w:r>
        <w:rPr>
          <w:sz w:val="19"/>
        </w:rPr>
        <w:t>USA, Biomarker-Definition auf deutsche Pankreaskarzinom-Patienten übertragbar, Prognose-Stratifizierung möglich.</w:t>
      </w:r>
    </w:p>
    <w:p>
      <w:r>
        <w:rPr>
          <w:color w:val="5A7D3A"/>
          <w:sz w:val="18"/>
        </w:rPr>
        <w:t>https://pubmed.ncbi.nlm.nih.gov/42822544/</w:t>
      </w:r>
    </w:p>
    <w:p>
      <w:pPr>
        <w:pStyle w:val="Heading2"/>
      </w:pPr>
      <w:r>
        <w:t>Immuntherapie vor Lebertransplantation senkt Rezidivrisiko bei Hepatozellulärkarzinom</w:t>
      </w:r>
    </w:p>
    <w:p>
      <w:r>
        <w:rPr>
          <w:i/>
          <w:color w:val="666666"/>
          <w:sz w:val="18"/>
        </w:rPr>
        <w:t>Ong M et al.  ·  JAMA Oncol  ·  01.10.2026  ·  PMID 42821267</w:t>
      </w:r>
    </w:p>
    <w:p>
      <w:r>
        <w:t>Retrospektive Matched-Cohort-Studie mit 416 Patienten zur ICI-basierten Downstaging-Therapie vor Lebertransplantation bei initial über Milan-Kriterien liegendem Hepatozellulärkarzinom in acht hochvolumigen chinesischen Transplantationszentren.</w:t>
      </w:r>
    </w:p>
    <w:p>
      <w:r>
        <w:rPr>
          <w:b/>
        </w:rPr>
        <w:t xml:space="preserve">Ergebnis: </w:t>
      </w:r>
      <w:r>
        <w:t>Medianes Gesamtüberleben 4,57 Jahre (ICI-Gruppe, 95%-CI 4,34-n.e.) vs. 2,53 Jahre (Kontrollgruppe, p&lt;0,001). Medianes rezidivfreies Überleben 1,47 Jahre vs. 0,89 Jahre (p=0,02). Postoperatives Rezidivrisiko: HR 0,54 (95%-CI 0,40–0,72). Akute Abstoßung häufiger in ICI-Gruppe (16,3% vs. 8,2%, p=0,01).</w:t>
      </w:r>
    </w:p>
    <w:p>
      <w:r>
        <w:rPr>
          <w:b/>
          <w:sz w:val="19"/>
        </w:rPr>
        <w:t xml:space="preserve">Übertragbarkeit: </w:t>
      </w:r>
      <w:r>
        <w:rPr>
          <w:sz w:val="19"/>
        </w:rPr>
        <w:t>Studiendesign auf europäische Transplantationszentren übertragbar, aber China-spezifische Organverfügbarkeit und Immunsuppression – Sicherheit vor Wirksamkeit klären.</w:t>
      </w:r>
    </w:p>
    <w:p>
      <w:r>
        <w:rPr>
          <w:color w:val="5A7D3A"/>
          <w:sz w:val="18"/>
        </w:rPr>
        <w:t>https://pubmed.ncbi.nlm.nih.gov/42821267/</w:t>
      </w:r>
    </w:p>
    <w:p>
      <w:pPr>
        <w:pStyle w:val="Heading2"/>
      </w:pPr>
      <w:r>
        <w:t>Immuntherapie in der Pädiatrie reduziert Spätfolgen-Mortalität beim Hodgkin-Lymphom</w:t>
      </w:r>
    </w:p>
    <w:p>
      <w:r>
        <w:rPr>
          <w:i/>
          <w:color w:val="666666"/>
          <w:sz w:val="18"/>
        </w:rPr>
        <w:t>Rogers JR et al.  ·  J Natl Cancer Inst  ·  01.10.2026  ·  PMID 42820770</w:t>
      </w:r>
    </w:p>
    <w:p>
      <w:r>
        <w:t>Simulationsmodell zur Lebenszeitprognose von 118 Kindern und Adoleszenten mit fortgeschrittenem Hodgkin-Lymphom unter modernen Brentuximab-vedotin- oder Nivolumab-Regimen vs. historischen Chemotherapie-Schemata.</w:t>
      </w:r>
    </w:p>
    <w:p>
      <w:r>
        <w:rPr>
          <w:b/>
        </w:rPr>
        <w:t xml:space="preserve">Ergebnis: </w:t>
      </w:r>
      <w:r>
        <w:t>Überlebensrate im Alter von 50 Jahren: 86% nach historischen und 92–93% nach modernen Immuntherapie-basierten Regimen (vs. 100% in Allgemeinbevölkerung). Überlebensvorteil persistiert, solange immuntherapie-assoziierte Spätsterblichkeit unter ca. 8% bleibt. Modell suggeriert Reduktion der Spätfolge-Last trotz Überlebensvorteil.</w:t>
      </w:r>
    </w:p>
    <w:p>
      <w:r>
        <w:rPr>
          <w:b/>
          <w:sz w:val="19"/>
        </w:rPr>
        <w:t xml:space="preserve">Übertragbarkeit: </w:t>
      </w:r>
      <w:r>
        <w:rPr>
          <w:sz w:val="19"/>
        </w:rPr>
        <w:t>USA-basiert, aber Endpunkt (Langzeitüberleben, Spätfolgen) tumorentitäts- und systemunabhängig.</w:t>
      </w:r>
    </w:p>
    <w:p>
      <w:r>
        <w:rPr>
          <w:color w:val="5A7D3A"/>
          <w:sz w:val="18"/>
        </w:rPr>
        <w:t>https://pubmed.ncbi.nlm.nih.gov/42820770/</w:t>
      </w:r>
    </w:p>
    <w:p>
      <w:pPr>
        <w:pStyle w:val="Heading2"/>
      </w:pPr>
      <w:r>
        <w:t>Onkolytisches Adenovirus mit Hyaluronidase verbessert Überleben bei metastasiertem Pankreaskarzinom</w:t>
      </w:r>
    </w:p>
    <w:p>
      <w:r>
        <w:rPr>
          <w:i/>
          <w:color w:val="666666"/>
          <w:sz w:val="18"/>
        </w:rPr>
        <w:t>Garcia-Carbonero R et al.  ·  Nat Med  ·  30.09.2026  ·  PMID 42816596</w:t>
      </w:r>
    </w:p>
    <w:p>
      <w:r>
        <w:t>Randomisierte Phase-2b-Studie mit 101 Patienten (53 VCN-01+Gemcitabin/nab-Paclitaxel, 48 Chemotherapie allein) zur First-Line-Therapie des metastasierten Pankreaskarzinoms.</w:t>
      </w:r>
    </w:p>
    <w:p>
      <w:r>
        <w:rPr>
          <w:b/>
        </w:rPr>
        <w:t xml:space="preserve">Ergebnis: </w:t>
      </w:r>
      <w:r>
        <w:t>Medianes Gesamtüberleben in Full-Analysis-Set: 10,8 Monate (VCN-01-Gruppe) vs. 8,6 Monate (Kontrolle; HR 0,57, 95%-CI 0,34–0,96, p=0,055). Progressionsfreies Überleben 7,0 vs. 4,6 Monate (HR 0,55, p=0,011). 15-Monats-Überleben 35,5% vs. 12,8%, 18-Monats-Überleben 31,1% vs. 8,5%. Ansprechdauer 11,2 vs. 5,4 Monate (p=0,004).</w:t>
      </w:r>
    </w:p>
    <w:p>
      <w:r>
        <w:rPr>
          <w:b/>
          <w:sz w:val="19"/>
        </w:rPr>
        <w:t xml:space="preserve">Übertragbarkeit: </w:t>
      </w:r>
      <w:r>
        <w:rPr>
          <w:sz w:val="19"/>
        </w:rPr>
        <w:t>Spanien und USA, Zulassung in Phase-3 ausstehend – Transfer zu AMNOG-Bewertung notwendig.</w:t>
      </w:r>
    </w:p>
    <w:p>
      <w:r>
        <w:rPr>
          <w:color w:val="5A7D3A"/>
          <w:sz w:val="18"/>
        </w:rPr>
        <w:t>https://pubmed.ncbi.nlm.nih.gov/42816596/</w:t>
      </w:r>
    </w:p>
    <w:p>
      <w:pPr>
        <w:pStyle w:val="Heading1"/>
      </w:pPr>
      <w:r>
        <w:t>Aufgenommen am 01.10.2026</w:t>
      </w:r>
    </w:p>
    <w:p>
      <w:pPr>
        <w:pStyle w:val="Heading2"/>
      </w:pPr>
      <w:r>
        <w:t>Strahlentherapie mit Antikörper-Wirkstoff-Konjugaten bei Brustkrebs: Sicherheit belegt</w:t>
      </w:r>
    </w:p>
    <w:p>
      <w:r>
        <w:rPr>
          <w:i/>
          <w:color w:val="666666"/>
          <w:sz w:val="18"/>
        </w:rPr>
        <w:t>Visani L et al.  ·  Radiother Oncol  ·  30.09.2026  ·  PMID 42815776</w:t>
      </w:r>
    </w:p>
    <w:p>
      <w:r>
        <w:t>Systematische Übersicht mit Metaanalyse von 29 Studien (3.817 Patienten) zur Verträglichkeit kombinierter Radiotherapie und Antikörper-Wirkstoff-Konjugaten bei frühem und metastasiertem Brustkrebs.</w:t>
      </w:r>
    </w:p>
    <w:p>
      <w:r>
        <w:rPr>
          <w:b/>
        </w:rPr>
        <w:t xml:space="preserve">Ergebnis: </w:t>
      </w:r>
      <w:r>
        <w:t>Schwere Strahlengewebsnekrose trat in 5% der Fälle auf (95%-KI: 1–12%). Bei intracranialer Stereotaxie waren 8% der Ereignisse ≥Grad 3 (95%-KI: 3–15%), mit T-DM1 13% (95%-KI: 1–34%). Pneumonitis und Hautreaktionen ≥Grad 3 waren selten (je 0%). Außerhalb des Schädels ist die Therapiekombination sicher; intracraniell, besonders mit T-DM1, ist Vorsicht geboten.</w:t>
      </w:r>
    </w:p>
    <w:p>
      <w:r>
        <w:rPr>
          <w:b/>
          <w:sz w:val="19"/>
        </w:rPr>
        <w:t xml:space="preserve">Übertragbarkeit: </w:t>
      </w:r>
      <w:r>
        <w:rPr>
          <w:sz w:val="19"/>
        </w:rPr>
        <w:t>Europa, internationale Konsensusgruppe; übertragbar auf deutsche Zentren.</w:t>
      </w:r>
    </w:p>
    <w:p>
      <w:r>
        <w:rPr>
          <w:color w:val="5A7D3A"/>
          <w:sz w:val="18"/>
        </w:rPr>
        <w:t>https://pubmed.ncbi.nlm.nih.gov/42815776/</w:t>
      </w:r>
    </w:p>
    <w:p>
      <w:pPr>
        <w:pStyle w:val="Heading2"/>
      </w:pPr>
      <w:r>
        <w:t>Erdafitinib verlängert Überleben bei FGFR-verändertem Urothelkarzinom deutlich</w:t>
      </w:r>
    </w:p>
    <w:p>
      <w:r>
        <w:rPr>
          <w:i/>
          <w:color w:val="666666"/>
          <w:sz w:val="18"/>
        </w:rPr>
        <w:t>Loriot Y et al.  ·  ESMO Open  ·  30.09.2026  ·  PMID 42815410</w:t>
      </w:r>
    </w:p>
    <w:p>
      <w:r>
        <w:t>Phase-III-Studie THOR mit 278 Patienten mit FGFR3/2-alteriertem metastasiertem Urothelkarzinom nach PD-(L)1-Progression: Erdafitinib gegen Chemotherapie (Docetaxel/Vinflunin).</w:t>
      </w:r>
    </w:p>
    <w:p>
      <w:r>
        <w:rPr>
          <w:b/>
        </w:rPr>
        <w:t xml:space="preserve">Ergebnis: </w:t>
      </w:r>
      <w:r>
        <w:t>Medianes Gesamtüberleben: 12,1 vs. 8,7 Monate (HR 0,65; 95%-KI 0,48–0,86; p=0,0031). Progressionsfreies Überleben: 5,4 vs. 2,7 Monate (HR 0,59; p&lt;0,0001). Ansprechrate: 46,9% vs. 12,6% (RR 3,74). Schwere Nebenwirkungen 67,6% vs. 65,8%; therapieassoziierte Todesfälle 0,7% vs. 6,0%.</w:t>
      </w:r>
    </w:p>
    <w:p>
      <w:r>
        <w:rPr>
          <w:b/>
          <w:sz w:val="19"/>
        </w:rPr>
        <w:t xml:space="preserve">Übertragbarkeit: </w:t>
      </w:r>
      <w:r>
        <w:rPr>
          <w:sz w:val="19"/>
        </w:rPr>
        <w:t>Internationale Studie; Zulassung relevant für Deutschland.</w:t>
      </w:r>
    </w:p>
    <w:p>
      <w:r>
        <w:rPr>
          <w:color w:val="5A7D3A"/>
          <w:sz w:val="18"/>
        </w:rPr>
        <w:t>https://pubmed.ncbi.nlm.nih.gov/42815410/</w:t>
      </w:r>
    </w:p>
    <w:p>
      <w:pPr>
        <w:pStyle w:val="Heading2"/>
      </w:pPr>
      <w:r>
        <w:t>Verzögerte Übelkeit unter moderater Chemoemesis-Gefährdung: Untererfassung über 120 Stunden hinaus</w:t>
      </w:r>
    </w:p>
    <w:p>
      <w:r>
        <w:rPr>
          <w:i/>
          <w:color w:val="666666"/>
          <w:sz w:val="18"/>
        </w:rPr>
        <w:t>Iimura Y et al.  ·  ESMO Open  ·  30.09.2026  ·  PMID 42815409</w:t>
      </w:r>
    </w:p>
    <w:p>
      <w:r>
        <w:t>Scoping Review systematischer Erfassung verzögerter chemotherapieassoziierter Übelkeit/Erbrechen (&gt;120 h) in 26 prospektiven Antiemetika-Studien (15 Phase III, 11 Phase II).</w:t>
      </w:r>
    </w:p>
    <w:p>
      <w:r>
        <w:rPr>
          <w:b/>
        </w:rPr>
        <w:t xml:space="preserve">Ergebnis: </w:t>
      </w:r>
      <w:r>
        <w:t>80,8% der Studien beschränkten Erfassung auf konventionelle 24–120 h. Komplette Remissionsquoten fielen von 71% in der Standardphase auf 62% in der Langzeitphase (&gt;120 h). Neurokinin-1-Antagonisten und ältere Patienten zeigten bessere Raten, höherer Frauenanteil schlechtere. Verlängerung der Erfassung wird empfohlen.</w:t>
      </w:r>
    </w:p>
    <w:p>
      <w:r>
        <w:rPr>
          <w:b/>
          <w:sz w:val="19"/>
        </w:rPr>
        <w:t xml:space="preserve">Übertragbarkeit: </w:t>
      </w:r>
      <w:r>
        <w:rPr>
          <w:sz w:val="19"/>
        </w:rPr>
        <w:t>Multizentrisch mit deutschen Autoren; Versorgungsforschungsfrage.</w:t>
      </w:r>
    </w:p>
    <w:p>
      <w:r>
        <w:rPr>
          <w:color w:val="5A7D3A"/>
          <w:sz w:val="18"/>
        </w:rPr>
        <w:t>https://pubmed.ncbi.nlm.nih.gov/42815409/</w:t>
      </w:r>
    </w:p>
    <w:p>
      <w:pPr>
        <w:pStyle w:val="Heading2"/>
      </w:pPr>
      <w:r>
        <w:t>Abemaciclib plus endokrine Therapie bei HR-positivem Brustkrebs: Nutzen über Lymphknoten-Subgruppen konsistent</w:t>
      </w:r>
    </w:p>
    <w:p>
      <w:r>
        <w:rPr>
          <w:i/>
          <w:color w:val="666666"/>
          <w:sz w:val="18"/>
        </w:rPr>
        <w:t>Cortes J et al.  ·  ESMO Open  ·  30.09.2026  ·  PMID 42815408</w:t>
      </w:r>
    </w:p>
    <w:p>
      <w:r>
        <w:t>Nachfolgeanalyse monarchE-Studie, Kohort 1 (91% der Gesamtpopulation): Abemaciclib + endokrine Therapie über 2 Jahre bei knoten-positiven Hochrisiko-Patienten mit HR-positivem, HER2-negativem frühem Brustkrebs nach medianer Nachbeobachtung 76,8 Monate.</w:t>
      </w:r>
    </w:p>
    <w:p>
      <w:r>
        <w:rPr>
          <w:b/>
        </w:rPr>
        <w:t xml:space="preserve">Ergebnis: </w:t>
      </w:r>
      <w:r>
        <w:t>Konsistent anhaltender Rückgang des Rezidivrisikos (invasives krankheitsfreies Überleben) und fernmetastasenfreies Überleben über alle Lymphknoten-Subgruppen (N1-Hochrisiko, N2, N3). Ähnliches Rezidivrisiko zwischen N1-Hochrisiko (68,6% Grad 3) und N2; Nutzen in allen Subgruppen bestätigt.</w:t>
      </w:r>
    </w:p>
    <w:p>
      <w:r>
        <w:rPr>
          <w:b/>
          <w:sz w:val="19"/>
        </w:rPr>
        <w:t xml:space="preserve">Übertragbarkeit: </w:t>
      </w:r>
      <w:r>
        <w:rPr>
          <w:sz w:val="19"/>
        </w:rPr>
        <w:t>Zulassungsrelevante Phase-III-Studie; Zentrenstandard.</w:t>
      </w:r>
    </w:p>
    <w:p>
      <w:r>
        <w:rPr>
          <w:color w:val="5A7D3A"/>
          <w:sz w:val="18"/>
        </w:rPr>
        <w:t>https://pubmed.ncbi.nlm.nih.gov/42815408/</w:t>
      </w:r>
    </w:p>
    <w:p>
      <w:pPr>
        <w:pStyle w:val="Heading2"/>
      </w:pPr>
      <w:r>
        <w:t>Giredestrant + Everolimus verdoppelt progressionsfreies Überleben bei HR+/HER2- metastasiertem Brustkrebs</w:t>
      </w:r>
    </w:p>
    <w:p>
      <w:r>
        <w:rPr>
          <w:i/>
          <w:color w:val="666666"/>
          <w:sz w:val="18"/>
        </w:rPr>
        <w:t>Mayer EL et al.  ·  N Engl J Med  ·  01.10.2026  ·  PMID 42814929</w:t>
      </w:r>
    </w:p>
    <w:p>
      <w:r>
        <w:t>Phase-III-Studie evERA mit 373 Patienten HR-positiv/HER2-negativ fortgeschrittenem Brustkrebs nach CDK4/6-Inhibitor-Versagen: Giredestrant + Everolimus vs. Standard endokrine Therapie + Everolimus.</w:t>
      </w:r>
    </w:p>
    <w:p>
      <w:r>
        <w:rPr>
          <w:b/>
        </w:rPr>
        <w:t xml:space="preserve">Ergebnis: </w:t>
      </w:r>
      <w:r>
        <w:t>Medianes progressionsfreies Überleben gesamt: 8,8 vs. 5,5 Monate (HR 0,56; 95%-KI 0,44–0,71; p&lt;0,001). Bei ESR1-mutiert (n=207): 10,0 vs. 5,5 Monate (HR 0,38; 95%-KI 0,27–0,54). Nebenwirkungsraten ähnlich: Stomatitis 47,3% vs. 48,9%, Diarrhö 26,9% vs. 22,6%, Anämie 23,6% vs. 21,0%.</w:t>
      </w:r>
    </w:p>
    <w:p>
      <w:r>
        <w:rPr>
          <w:b/>
          <w:sz w:val="19"/>
        </w:rPr>
        <w:t xml:space="preserve">Übertragbarkeit: </w:t>
      </w:r>
      <w:r>
        <w:rPr>
          <w:sz w:val="19"/>
        </w:rPr>
        <w:t>Zulassungsrelevant; breites europäisches Netzwerk.</w:t>
      </w:r>
    </w:p>
    <w:p>
      <w:r>
        <w:rPr>
          <w:color w:val="5A7D3A"/>
          <w:sz w:val="18"/>
        </w:rPr>
        <w:t>https://pubmed.ncbi.nlm.nih.gov/42814929/</w:t>
      </w:r>
    </w:p>
    <w:p>
      <w:pPr>
        <w:pStyle w:val="Heading2"/>
      </w:pPr>
      <w:r>
        <w:t>Tumor-Adipozyten-Kontakt prognostiziert schlechteres Überleben beim Pankreaskarzinom unabhängig</w:t>
      </w:r>
    </w:p>
    <w:p>
      <w:r>
        <w:rPr>
          <w:i/>
          <w:color w:val="666666"/>
          <w:sz w:val="18"/>
        </w:rPr>
        <w:t>Günther M et al.  ·  Eur J Cancer  ·  16.10.2026  ·  PMID 42777382</w:t>
      </w:r>
    </w:p>
    <w:p>
      <w:r>
        <w:t>Internationale Multicenter-Studie (941 resezierte PDAC aus 5 Kohorten: München n=400, Bern n=215, Graz n=111, Erlangen n=101, TCGA n=114): Direkte Tumor-Adipozyten-Kontaktflächen (TAC/SARIFA) auf H&amp;E-Schnitten als prognostisches Merkmal.</w:t>
      </w:r>
    </w:p>
    <w:p>
      <w:r>
        <w:rPr>
          <w:b/>
        </w:rPr>
        <w:t xml:space="preserve">Ergebnis: </w:t>
      </w:r>
      <w:r>
        <w:t>TAC/SARIFA in 53% positiv, Cohen's Kappa 0,71 (Interobserver-Agreement). TAC+ assoziiert mit höherem N-Stadium, höherem Grad, älteren Patienten (alle p&lt;0,01). Medianes Gesamtüberleben 14,1 vs. 28,0 Monate (p&lt;0,001); unabhängiger Prognosefaktor (gepoolte HR 1,84; 95%-KI 1,59–2,14; p&lt;0,001). Geschlechtsspezifischer Effekt: HR 2,46 bei Männern vs. 1,50 bei Frauen.</w:t>
      </w:r>
    </w:p>
    <w:p>
      <w:r>
        <w:rPr>
          <w:b/>
          <w:sz w:val="19"/>
        </w:rPr>
        <w:t xml:space="preserve">Übertragbarkeit: </w:t>
      </w:r>
      <w:r>
        <w:rPr>
          <w:sz w:val="19"/>
        </w:rPr>
        <w:t>Deutschsprachige Klinikdaten, vergleichbare Dokumentation; Routine-H&amp;E-Slides.</w:t>
      </w:r>
    </w:p>
    <w:p>
      <w:r>
        <w:rPr>
          <w:color w:val="5A7D3A"/>
          <w:sz w:val="18"/>
        </w:rPr>
        <w:t>https://pubmed.ncbi.nlm.nih.gov/42777382/</w:t>
      </w:r>
    </w:p>
    <w:p>
      <w:pPr>
        <w:pStyle w:val="Heading2"/>
      </w:pPr>
      <w:r>
        <w:t>Futibatinib nach nicht-kovalenten FGFR-Inhibitoren bei FGFR2-verändertem Gallengangskarzinom wirksam</w:t>
      </w:r>
    </w:p>
    <w:p>
      <w:r>
        <w:rPr>
          <w:i/>
          <w:color w:val="666666"/>
          <w:sz w:val="18"/>
        </w:rPr>
        <w:t>Casalino S et al.  ·  Eur J Cancer  ·  16.10.2026  ·  PMID 42731348</w:t>
      </w:r>
    </w:p>
    <w:p>
      <w:r>
        <w:t>Retrospektive europäische Multicenter-Studie (3 Zentren) an 16 Patienten mit FGFR2-rearrangiertem intrahepatischem Cholangiokarziom: Futibatinib nach Progression unter nicht-kovalenten FGFR-Inhibitoren.</w:t>
      </w:r>
    </w:p>
    <w:p>
      <w:r>
        <w:rPr>
          <w:b/>
        </w:rPr>
        <w:t xml:space="preserve">Ergebnis: </w:t>
      </w:r>
      <w:r>
        <w:t>Medianes PFS unter nicht-kovalenten Inhibitoren: 10,2 Monate (95%-KI 7,0–15,5), Ansprechrate 60,0%. Mit Futibatinib (Viertlinien-Median): ORR 31,3%, Kontrolle 50,0%, medianes PFS 4,5 Monate (95%-KI 2,0–9,1), medianes OS 9,9 Monate (95%-KI 5,7–nicht erreicht). FGFR2-Resistenzmutationen in 100% (n=11), polyklonal 45,5%. Effizienz unabhängig von Anzahl Resistenzmutationen.</w:t>
      </w:r>
    </w:p>
    <w:p>
      <w:r>
        <w:rPr>
          <w:b/>
          <w:sz w:val="19"/>
        </w:rPr>
        <w:t xml:space="preserve">Übertragbarkeit: </w:t>
      </w:r>
      <w:r>
        <w:rPr>
          <w:sz w:val="19"/>
        </w:rPr>
        <w:t>Deutschland und italienische/britische Zentren; Mechanismus-Beweis für kovalente Nachfolgetherapie.</w:t>
      </w:r>
    </w:p>
    <w:p>
      <w:r>
        <w:rPr>
          <w:color w:val="5A7D3A"/>
          <w:sz w:val="18"/>
        </w:rPr>
        <w:t>https://pubmed.ncbi.nlm.nih.gov/42731348/</w:t>
      </w:r>
    </w:p>
    <w:p>
      <w:pPr>
        <w:pStyle w:val="Heading1"/>
      </w:pPr>
      <w:r>
        <w:t>Aufgenommen am 30.09.2026</w:t>
      </w:r>
    </w:p>
    <w:p>
      <w:pPr>
        <w:pStyle w:val="Heading2"/>
      </w:pPr>
      <w:r>
        <w:t>Bewegungsintervention verbessert Aufmerksamkeit bei Brustkrebsüberlebenden.</w:t>
      </w:r>
    </w:p>
    <w:p>
      <w:r>
        <w:rPr>
          <w:i/>
          <w:color w:val="666666"/>
          <w:sz w:val="18"/>
        </w:rPr>
        <w:t>Hartman SJ et al.  ·  J Natl Cancer Inst  ·  30.09.2026  ·  PMID 42810736</w:t>
      </w:r>
    </w:p>
    <w:p>
      <w:r>
        <w:t>Randomisierte kontrollierte Studie mit 253 Brustkrebsüberlebenden: 12 Monate ferngesteuerte Bewegungsintervention vs. Kontakt-gematchte Health-&amp;-Wellness-Kontrolle auf Kognition und körperliche Aktivität.</w:t>
      </w:r>
    </w:p>
    <w:p>
      <w:r>
        <w:rPr>
          <w:b/>
        </w:rPr>
        <w:t xml:space="preserve">Ergebnis: </w:t>
      </w:r>
      <w:r>
        <w:t>Bewegungsarm zeigte größere Zunahme an moderater bis intensiver Aktivität (18 auf 23,5 Min./Tag vs. 15 auf 15,5 Min.). Kein signifikanter Unterschied in primären Outcomes (Selbstbericht Kognition, Processing Speed, 6 und 12 Monate, p &gt; 0,05). Sekundäre Outcomes: Bewegungsarm bessere Aufmerksamkeit (6 Mo.: b = 0,14, p = 0,03; 12 Mo.: b = 0,21, p = 0,002) und kurzfristig besseres Gedächtnis (6 Mo.: b = 0,18, p &lt; 0,01).</w:t>
      </w:r>
    </w:p>
    <w:p>
      <w:r>
        <w:rPr>
          <w:b/>
          <w:sz w:val="19"/>
        </w:rPr>
        <w:t xml:space="preserve">Übertragbarkeit: </w:t>
      </w:r>
      <w:r>
        <w:rPr>
          <w:sz w:val="19"/>
        </w:rPr>
        <w:t>USA-amerikanisches Forschungssetting, aber patientenrelevanter Endpunkt und gut skalierbare Fernintervention.</w:t>
      </w:r>
    </w:p>
    <w:p>
      <w:r>
        <w:rPr>
          <w:color w:val="5A7D3A"/>
          <w:sz w:val="18"/>
        </w:rPr>
        <w:t>https://pubmed.ncbi.nlm.nih.gov/42810736/</w:t>
      </w:r>
    </w:p>
    <w:p>
      <w:pPr>
        <w:pStyle w:val="Heading2"/>
      </w:pPr>
      <w:r>
        <w:t>Bewegung verlangsamt epigenetisches Altern bei Brustkrebsüberlebenden.</w:t>
      </w:r>
    </w:p>
    <w:p>
      <w:r>
        <w:rPr>
          <w:i/>
          <w:color w:val="666666"/>
          <w:sz w:val="18"/>
        </w:rPr>
        <w:t>Carlin D et al.  ·  J Natl Cancer Inst  ·  30.09.2026  ·  PMID 42810733</w:t>
      </w:r>
    </w:p>
    <w:p>
      <w:r>
        <w:t>Sekundäranalyse einer RCT mit 124 Brustkrebsüberlebenden: Auswirkung einer 12-Monate-Bewegungsintervention auf DNA-Methylierungsmuster (epigenetische Uhren).</w:t>
      </w:r>
    </w:p>
    <w:p>
      <w:r>
        <w:rPr>
          <w:b/>
        </w:rPr>
        <w:t xml:space="preserve">Ergebnis: </w:t>
      </w:r>
      <w:r>
        <w:t>Bewegungsarm zeigte verlangsamtes epigenetisches Altern nach GrimAge2 (p = 0,02) und DNAmFitAge (p = 0,002) vs. Kontrolle über 12 Monate. Schnelleres epigenetisches Altern mit größerem kognitiven Abbau assoziiert. Genomweite Analyse: differenziell methylierte Stellen mit Anreicherung in BDNF-Signalwegen. Epigenetisches Altern als modifizierbar durch Bewegung und möglicherweise mechanistisches Bindeglied zu kognitiven Effekten.</w:t>
      </w:r>
    </w:p>
    <w:p>
      <w:r>
        <w:rPr>
          <w:b/>
          <w:sz w:val="19"/>
        </w:rPr>
        <w:t xml:space="preserve">Übertragbarkeit: </w:t>
      </w:r>
      <w:r>
        <w:rPr>
          <w:sz w:val="19"/>
        </w:rPr>
        <w:t>USA-Studie, aber biologischer Mechanismus und patientenrelevantes Outcome übertragbar.</w:t>
      </w:r>
    </w:p>
    <w:p>
      <w:r>
        <w:rPr>
          <w:color w:val="5A7D3A"/>
          <w:sz w:val="18"/>
        </w:rPr>
        <w:t>https://pubmed.ncbi.nlm.nih.gov/42810733/</w:t>
      </w:r>
    </w:p>
    <w:p>
      <w:pPr>
        <w:pStyle w:val="Heading2"/>
      </w:pPr>
      <w:r>
        <w:t>Pembrolizumab-Monotherapie beim Nierenzellkarzinom: Biomarker und Langzeitergebnisse.</w:t>
      </w:r>
    </w:p>
    <w:p>
      <w:r>
        <w:rPr>
          <w:i/>
          <w:color w:val="666666"/>
          <w:sz w:val="18"/>
        </w:rPr>
        <w:t>McDermott DF et al.  ·  Ann Oncol  ·  29.09.2026  ·  PMID 42810586</w:t>
      </w:r>
    </w:p>
    <w:p>
      <w:r>
        <w:t>Phase-II-Studie KEYNOTE-427 nach Median 61 Monaten Follow-up: Objektives Ansprechen und Prognosefaktoren für Pembrolizumab ohne Kombinationstherapie bei klarzelliger und nicht-klarzelliger RCC.</w:t>
      </w:r>
    </w:p>
    <w:p>
      <w:r>
        <w:rPr>
          <w:b/>
        </w:rPr>
        <w:t xml:space="preserve">Ergebnis: </w:t>
      </w:r>
      <w:r>
        <w:t>Objektive Ansprechrate 36,4 % (klarzelliges RCC) und 26,7 % (nicht-klarzelliges RCC). T-Zell-entzündliches Genexpressionsprofil (TcellinfGEP) assoziiert mit höherem Ansprechen (p = 0,0208 bzw. p = 0,0021). PD-L1 CPS kontinuierlich mit Gesamtüberleben korreliert (nicht-klarzelliges RCC: p = 0,0014). Patienten mit nachweisbarer ctDNA am Baseline hatten kürzeres OS (30,5 vs. 53,7 Monate). Treibermutationen zeigten keine konsistenten Muster.</w:t>
      </w:r>
    </w:p>
    <w:p>
      <w:r>
        <w:rPr>
          <w:b/>
          <w:sz w:val="19"/>
        </w:rPr>
        <w:t xml:space="preserve">Übertragbarkeit: </w:t>
      </w:r>
      <w:r>
        <w:rPr>
          <w:sz w:val="19"/>
        </w:rPr>
        <w:t>Nordamerikanische Kohorte, internationale Zentren, Biomarker-Erkenntnisse für Präzisionstherapie übertragbar.</w:t>
      </w:r>
    </w:p>
    <w:p>
      <w:r>
        <w:rPr>
          <w:color w:val="5A7D3A"/>
          <w:sz w:val="18"/>
        </w:rPr>
        <w:t>https://pubmed.ncbi.nlm.nih.gov/42810586/</w:t>
      </w:r>
    </w:p>
    <w:p>
      <w:pPr>
        <w:pStyle w:val="Heading2"/>
      </w:pPr>
      <w:r>
        <w:t>Lebensqualität in Adjuvansstudien: Neue Standards zur Berichterstattung.</w:t>
      </w:r>
    </w:p>
    <w:p>
      <w:r>
        <w:rPr>
          <w:i/>
          <w:color w:val="666666"/>
          <w:sz w:val="18"/>
        </w:rPr>
        <w:t>Tannock IF et al.  ·  Lancet Oncol  ·  29.09.2026  ·  PMID 42810369</w:t>
      </w:r>
    </w:p>
    <w:p>
      <w:r>
        <w:t>Konsensempfehlungen europäischer und kanadischer Leitlinienautoren zur Erfassung und Darstellung der gesundheitsbezogenen Lebensqualität in Publikationen von Zulassungsstudien der adjuvanten Systemtherapie.</w:t>
      </w:r>
    </w:p>
    <w:p>
      <w:r>
        <w:rPr>
          <w:b/>
        </w:rPr>
        <w:t xml:space="preserve">Ergebnis: </w:t>
      </w:r>
      <w:r>
        <w:t>Die Studienautoren empfehlen, den Anteil der Patienten mit vordefinierter Verschlechterung in validierten Lebensqualitätsskalen sowie die Dauer dieser Beeinträchtigung während und nach Therapie zu dokumentieren. Symptome, Funktionsfähigkeit und Gesamtlebensqualität sollen differenzieren zwischen Patienten mit und ohne klinisch bedeutsame Toxizität. Diese Angaben sind im Primärbericht essentiell für informed treatment decisions.</w:t>
      </w:r>
    </w:p>
    <w:p>
      <w:r>
        <w:rPr>
          <w:b/>
          <w:sz w:val="19"/>
        </w:rPr>
        <w:t xml:space="preserve">Übertragbarkeit: </w:t>
      </w:r>
      <w:r>
        <w:rPr>
          <w:sz w:val="19"/>
        </w:rPr>
        <w:t>Europäische Autorenschaft, Standard für randomisierte Therapiestudien, übertragbar auf deutsches Zulassungswesen.</w:t>
      </w:r>
    </w:p>
    <w:p>
      <w:r>
        <w:rPr>
          <w:color w:val="5A7D3A"/>
          <w:sz w:val="18"/>
        </w:rPr>
        <w:t>https://pubmed.ncbi.nlm.nih.gov/42810369/</w:t>
      </w:r>
    </w:p>
    <w:p>
      <w:pPr>
        <w:pStyle w:val="Heading2"/>
      </w:pPr>
      <w:r>
        <w:t>Pembrolizumab-Lenvatinib bei metastasiertem Endometriumkarzinom: Real-World-Wirksamkeit.</w:t>
      </w:r>
    </w:p>
    <w:p>
      <w:r>
        <w:rPr>
          <w:i/>
          <w:color w:val="666666"/>
          <w:sz w:val="18"/>
        </w:rPr>
        <w:t>Bello Roufai D et al.  ·  ESMO Open  ·  29.09.2026  ·  PMID 42810020</w:t>
      </w:r>
    </w:p>
    <w:p>
      <w:r>
        <w:t>Französisches Programm für frühzeitigen Zugang: Wirksamkeit und Sicherheit von Pembrolizumab-Lenvatinib bei 351 Patienten mit metastasiertem Endometriumkarzinom in 25 Zentren, einschließlich älterer und fragiler Patienten.</w:t>
      </w:r>
    </w:p>
    <w:p>
      <w:r>
        <w:rPr>
          <w:b/>
        </w:rPr>
        <w:t xml:space="preserve">Ergebnis: </w:t>
      </w:r>
      <w:r>
        <w:t>Medianes Progressions-freies Überleben 6,0 Monate, medianes Gesamtüberleben 21 Monate. Objektive Ansprechrate 41 %, klinischer Benefit 68 %. Mismatch-Repair-Defizienz mit verlängertem PFS assoziiert (16 vs. 6 Monate, p &lt; 0,001). 27,6 % permanentes Absetzen von Lenvatinib wegen Toxizität; reduzierte Startdosen (37,2 %) beeinträchtigten PFS nicht. Wirksam auch in realen Populationen jenseits von Studienbedingungen.</w:t>
      </w:r>
    </w:p>
    <w:p>
      <w:r>
        <w:rPr>
          <w:b/>
          <w:sz w:val="19"/>
        </w:rPr>
        <w:t xml:space="preserve">Übertragbarkeit: </w:t>
      </w:r>
      <w:r>
        <w:rPr>
          <w:sz w:val="19"/>
        </w:rPr>
        <w:t>Französisches Versicherungssystem, Zentrumserfahrung, klinische Kohorten ähnlich deutschem Patientengut.</w:t>
      </w:r>
    </w:p>
    <w:p>
      <w:r>
        <w:rPr>
          <w:color w:val="5A7D3A"/>
          <w:sz w:val="18"/>
        </w:rPr>
        <w:t>https://pubmed.ncbi.nlm.nih.gov/42810020/</w:t>
      </w:r>
    </w:p>
    <w:p>
      <w:pPr>
        <w:pStyle w:val="Heading2"/>
      </w:pPr>
      <w:r>
        <w:t>Entscheidungshilfe für Palliativbehandlung beim Pankreaskarzinom: Real-World-Implementierung.</w:t>
      </w:r>
    </w:p>
    <w:p>
      <w:r>
        <w:rPr>
          <w:i/>
          <w:color w:val="666666"/>
          <w:sz w:val="18"/>
        </w:rPr>
        <w:t>Graus MUJE et al.  ·  Oncologist  ·  29.09.2026  ·  PMID 42809229</w:t>
      </w:r>
    </w:p>
    <w:p>
      <w:r>
        <w:t>Prospektive Multizenter-Studie an 10 niederländischen Expertenzentren: Einsatz einer Shared-Decision-Making-Hilfe bei 181 Patienten mit metastasiertem Pankreaskarzinom zur Unterstützung von Therapieentscheidungen.</w:t>
      </w:r>
    </w:p>
    <w:p>
      <w:r>
        <w:rPr>
          <w:b/>
        </w:rPr>
        <w:t xml:space="preserve">Ergebnis: </w:t>
      </w:r>
      <w:r>
        <w:t>Patienten mit ausreichend Bedenkzeit verwendeten die Entscheidungshilfe häufiger (p &lt; 0,01). Mediane Bewertung durch Patienten und Kliniker: 8/10. Diskordanz zwischen Arzt- und Patientenpreferenzen in 37 % beobachtet; Unterschiede zur finalen Therapieentscheidung häufig. Struktur-unterstützte SDM-Hilfe wird hochwertig akzeptiert und kann erfolgreich implementiert werden.</w:t>
      </w:r>
    </w:p>
    <w:p>
      <w:r>
        <w:rPr>
          <w:b/>
          <w:sz w:val="19"/>
        </w:rPr>
        <w:t xml:space="preserve">Übertragbarkeit: </w:t>
      </w:r>
      <w:r>
        <w:rPr>
          <w:sz w:val="19"/>
        </w:rPr>
        <w:t>Niederländisches System, vergleichbar mit deutschem Gesundheitswesen, SDM-Verfahren direkt übertragbar.</w:t>
      </w:r>
    </w:p>
    <w:p>
      <w:r>
        <w:rPr>
          <w:color w:val="5A7D3A"/>
          <w:sz w:val="18"/>
        </w:rPr>
        <w:t>https://pubmed.ncbi.nlm.nih.gov/42809229/</w:t>
      </w:r>
    </w:p>
    <w:p>
      <w:pPr>
        <w:pStyle w:val="Heading1"/>
      </w:pPr>
      <w:r>
        <w:t>Aufgenommen am 29.09.2026</w:t>
      </w:r>
    </w:p>
    <w:p>
      <w:pPr>
        <w:pStyle w:val="Heading2"/>
      </w:pPr>
      <w:r>
        <w:t>Hypofractionierte Postmastektomie-Radiotherapie ohne Anstieg schwerer Toxizitäten</w:t>
      </w:r>
    </w:p>
    <w:p>
      <w:r>
        <w:rPr>
          <w:i/>
          <w:color w:val="666666"/>
          <w:sz w:val="18"/>
        </w:rPr>
        <w:t>Sun GY et al.  ·  Lancet Oncol  ·  Okt. 2026  ·  PMID 42805199</w:t>
      </w:r>
    </w:p>
    <w:p>
      <w:r>
        <w:t>Randomisierte Phase-3-Studie mit 10-Jahres-Nachbeobachtung von 820 Patientinnen mit hochrisiko-Brustkrebs nach Mastektomie.</w:t>
      </w:r>
    </w:p>
    <w:p>
      <w:r>
        <w:rPr>
          <w:b/>
        </w:rPr>
        <w:t xml:space="preserve">Ergebnis: </w:t>
      </w:r>
      <w:r>
        <w:t>Lokoregionales Rezidiv nach 10 Jahren: 10,3 % (konventionell) vs. 12,0 % (hypofraktioniert; Hazard Ratio 1,19; 95%-KI 0,79–1,82). Grade-3-Toxizitäten waren selten und ähnlich in beiden Gruppen (je &lt;1–2 %). Hypofraktionierung ist zeiteffizient und gleichwertig sicher.</w:t>
      </w:r>
    </w:p>
    <w:p>
      <w:r>
        <w:rPr>
          <w:b/>
          <w:sz w:val="19"/>
        </w:rPr>
        <w:t xml:space="preserve">Übertragbarkeit: </w:t>
      </w:r>
      <w:r>
        <w:rPr>
          <w:sz w:val="19"/>
        </w:rPr>
        <w:t>China, vergleichbare onkologische Versorgung; Ergebnis sollte Leitlinien beeinflussen.</w:t>
      </w:r>
    </w:p>
    <w:p>
      <w:r>
        <w:rPr>
          <w:color w:val="5A7D3A"/>
          <w:sz w:val="18"/>
        </w:rPr>
        <w:t>https://pubmed.ncbi.nlm.nih.gov/42805199/</w:t>
      </w:r>
    </w:p>
    <w:p>
      <w:pPr>
        <w:pStyle w:val="Heading2"/>
      </w:pPr>
      <w:r>
        <w:t>2,3 Millionen Krebsfälle weltweit durch Infektionen: Prävention möglich</w:t>
      </w:r>
    </w:p>
    <w:p>
      <w:r>
        <w:rPr>
          <w:i/>
          <w:color w:val="666666"/>
          <w:sz w:val="18"/>
        </w:rPr>
        <w:t>Rumgay H et al.  ·  Lancet Oncol  ·  Okt. 2026  ·  PMID 42805198</w:t>
      </w:r>
    </w:p>
    <w:p>
      <w:r>
        <w:t>Analyse der Global Cancer Observatory 2024 zu Krebslast durch 12 klassifizierten Karzinogene (H. pylori, HPV, HBV, HCV, EBV u. a.).</w:t>
      </w:r>
    </w:p>
    <w:p>
      <w:r>
        <w:rPr>
          <w:b/>
        </w:rPr>
        <w:t xml:space="preserve">Ergebnis: </w:t>
      </w:r>
      <w:r>
        <w:t>12 % aller Krebsinzidenz 2024 (2,3 Mio. Fälle) attributabel: H. pylori 760.000 (4 %), HPV 750.000 (4 %), HBV 360.000 (2 %). Höchste Lasten in Ostasien (990.000 Fälle; 31,9/100.000), Sub-Sahara-Afrika (28,5/100.000). Prävention durch Impfung, Test-and-Treat möglich.</w:t>
      </w:r>
    </w:p>
    <w:p>
      <w:r>
        <w:rPr>
          <w:b/>
          <w:sz w:val="19"/>
        </w:rPr>
        <w:t xml:space="preserve">Übertragbarkeit: </w:t>
      </w:r>
      <w:r>
        <w:rPr>
          <w:sz w:val="19"/>
        </w:rPr>
        <w:t>Global applikabel, auch für Deutschland bei Präventionsplanung relevant.</w:t>
      </w:r>
    </w:p>
    <w:p>
      <w:r>
        <w:rPr>
          <w:color w:val="5A7D3A"/>
          <w:sz w:val="18"/>
        </w:rPr>
        <w:t>https://pubmed.ncbi.nlm.nih.gov/42805198/</w:t>
      </w:r>
    </w:p>
    <w:p>
      <w:pPr>
        <w:pStyle w:val="Heading2"/>
      </w:pPr>
      <w:r>
        <w:t>Keimbahnvariantenscreening: Nutzen vs. Schaden für Population?</w:t>
      </w:r>
    </w:p>
    <w:p>
      <w:r>
        <w:rPr>
          <w:i/>
          <w:color w:val="666666"/>
          <w:sz w:val="18"/>
        </w:rPr>
        <w:t>Turnbull C et al.  ·  Lancet Oncol  ·  25.09.2026  ·  PMID 42790443</w:t>
      </w:r>
    </w:p>
    <w:p>
      <w:r>
        <w:t>Policy Review von Experten zu Expansion von Cancer-Susceptibility-Testing von Genetik-Kliniken in die Bevölkerung; Fokus auf klinische Evidenz und Health-System-Implikationen.</w:t>
      </w:r>
    </w:p>
    <w:p>
      <w:r>
        <w:rPr>
          <w:b/>
        </w:rPr>
        <w:t xml:space="preserve">Ergebnis: </w:t>
      </w:r>
      <w:r>
        <w:t>Nur für wenige Gene (BRCA1, BRCA2, MLH1, MSH2) etablierte Risiken und evidenzgestützte Interventionen. Für viele Panel-Gene: unsichere Penetranz, fehlende Mortalitätsreduktion und Kosteneffektivität. Polygene Risikoscores diskriminatorisch begrenzt, abhängig von Ethnizität. Tiered, kontextabhängiger Implementierungsansatz empfohlen.</w:t>
      </w:r>
    </w:p>
    <w:p>
      <w:r>
        <w:rPr>
          <w:b/>
          <w:sz w:val="19"/>
        </w:rPr>
        <w:t xml:space="preserve">Übertragbarkeit: </w:t>
      </w:r>
      <w:r>
        <w:rPr>
          <w:sz w:val="19"/>
        </w:rPr>
        <w:t>Direkt auf Deutschland übertragbar; könnte AMNOG-, Zertifizierungs- und Leitlinien-Entscheidungen beeinflussen.</w:t>
      </w:r>
    </w:p>
    <w:p>
      <w:r>
        <w:rPr>
          <w:color w:val="5A7D3A"/>
          <w:sz w:val="18"/>
        </w:rPr>
        <w:t>https://pubmed.ncbi.nlm.nih.gov/42790443/</w:t>
      </w:r>
    </w:p>
    <w:p>
      <w:pPr>
        <w:pStyle w:val="Heading2"/>
      </w:pPr>
      <w:r>
        <w:t>Real-World-Überleben HER2-positiver metastastischer Brustkrebs: 41,4 Monate</w:t>
      </w:r>
    </w:p>
    <w:p>
      <w:r>
        <w:rPr>
          <w:i/>
          <w:color w:val="666666"/>
          <w:sz w:val="18"/>
        </w:rPr>
        <w:t>Lee SC et al.  ·  ESMO Open  ·  25.09.2026  ·  PMID 42790263</w:t>
      </w:r>
    </w:p>
    <w:p>
      <w:r>
        <w:t>Retrospektive HER2 REAL Study aus 6 Ländern mit 763 Patienten und HER2-positivem metastasiertem Brustkrebs; Treatment Patterns und OS.</w:t>
      </w:r>
    </w:p>
    <w:p>
      <w:r>
        <w:rPr>
          <w:b/>
        </w:rPr>
        <w:t xml:space="preserve">Ergebnis: </w:t>
      </w:r>
      <w:r>
        <w:t>Mediales Gesamtüberleben: 41,4 Monate (95%-KI 38,1–45,8). Erste Linie Trastuzumab+Pertuzumab+CT: 58,1 % erhalten, medianes OS 46,8 Monate. Zweite Linie T-DM1: 45,5 %, medianes OS 23,9 Monate. Heterogenes Therapiemuster, Optimierungsbedarf identifiziert.</w:t>
      </w:r>
    </w:p>
    <w:p>
      <w:r>
        <w:rPr>
          <w:b/>
          <w:sz w:val="19"/>
        </w:rPr>
        <w:t xml:space="preserve">Übertragbarkeit: </w:t>
      </w:r>
      <w:r>
        <w:rPr>
          <w:sz w:val="19"/>
        </w:rPr>
        <w:t>6 Länder, Patientenauswahl pragmatisch, Real-World-Vergleichswert aber limitiert aussagekräftig für Deutschland.</w:t>
      </w:r>
    </w:p>
    <w:p>
      <w:r>
        <w:rPr>
          <w:color w:val="5A7D3A"/>
          <w:sz w:val="18"/>
        </w:rPr>
        <w:t>https://pubmed.ncbi.nlm.nih.gov/42790263/</w:t>
      </w:r>
    </w:p>
    <w:p>
      <w:pPr>
        <w:pStyle w:val="Heading2"/>
      </w:pPr>
      <w:r>
        <w:t>Daratumumab mit VRd verbessert Remissionstiefe bei transplantuntauglichem Myelom</w:t>
      </w:r>
    </w:p>
    <w:p>
      <w:r>
        <w:rPr>
          <w:i/>
          <w:color w:val="666666"/>
          <w:sz w:val="18"/>
        </w:rPr>
        <w:t>Usmani SZ et al.  ·  J Clin Oncol  ·  25.09.2026  ·  PMID 42789828</w:t>
      </w:r>
    </w:p>
    <w:p>
      <w:r>
        <w:t>Phase-3-Studie CEPHEUS mit 289 transplantuntauglichen Patienten (median 58,7 Monate Nachfolge): DVRd versus VRd.</w:t>
      </w:r>
    </w:p>
    <w:p>
      <w:r>
        <w:rPr>
          <w:b/>
        </w:rPr>
        <w:t xml:space="preserve">Ergebnis: </w:t>
      </w:r>
      <w:r>
        <w:t>MRD-Negativität (10⁻⁵): 60,4 % (DVRd) vs. 39,3 % (VRd; p=0,0004). Progressionsfreies Überleben: HR 0,51 (95%-KI 0,35–0,74; p=0,0003). Nachhaltige MRD ≥12 Monate: 47,2 % vs. 28,3 % (p=0,0010).</w:t>
      </w:r>
    </w:p>
    <w:p>
      <w:r>
        <w:rPr>
          <w:b/>
          <w:sz w:val="19"/>
        </w:rPr>
        <w:t xml:space="preserve">Übertragbarkeit: </w:t>
      </w:r>
      <w:r>
        <w:rPr>
          <w:sz w:val="19"/>
        </w:rPr>
        <w:t>Zulassungsrelevante Studie, Datenlage für AMNOG-Bewertung verfügbar.</w:t>
      </w:r>
    </w:p>
    <w:p>
      <w:r>
        <w:rPr>
          <w:color w:val="5A7D3A"/>
          <w:sz w:val="18"/>
        </w:rPr>
        <w:t>https://pubmed.ncbi.nlm.nih.gov/42789828/</w:t>
      </w:r>
    </w:p>
    <w:p>
      <w:pPr>
        <w:pStyle w:val="Heading2"/>
      </w:pPr>
      <w:r>
        <w:t>Symptomcluster nach Schilddrüsenkrebs-OP beeinflussen Lebensqualität</w:t>
      </w:r>
    </w:p>
    <w:p>
      <w:r>
        <w:rPr>
          <w:i/>
          <w:color w:val="666666"/>
          <w:sz w:val="18"/>
        </w:rPr>
        <w:t>Gao J et al.  ·  Oncologist  ·  24.09.2026  ·  PMID 42786665</w:t>
      </w:r>
    </w:p>
    <w:p>
      <w:r>
        <w:t>Nationale multizentrische Querschnittsstudie mit 1.093 Patienten 4 Wochen post-Thyreoidektomie; Symptome und Lebensqualität mittels EORTC QLQ erhoben.</w:t>
      </w:r>
    </w:p>
    <w:p>
      <w:r>
        <w:rPr>
          <w:b/>
        </w:rPr>
        <w:t xml:space="preserve">Ergebnis: </w:t>
      </w:r>
      <w:r>
        <w:t>Drei Symptomcluster identifiziert: psychologisch-somatisch, Schilddrüsenhormon-bezogen, Operations-bezogen. Psychologisch-somatischer Cluster stärker mit schlechterer Lebensqualität assoziiert (β=−0,596; 95%-KI −0,713 bis −0,581). Frauen und Totalthyreoidektomie zeigten höhere Risikomarker.</w:t>
      </w:r>
    </w:p>
    <w:p>
      <w:r>
        <w:rPr>
          <w:b/>
          <w:sz w:val="19"/>
        </w:rPr>
        <w:t xml:space="preserve">Übertragbarkeit: </w:t>
      </w:r>
      <w:r>
        <w:rPr>
          <w:sz w:val="19"/>
        </w:rPr>
        <w:t>China, Symptomerfassung übertragbar, strukturierte Nachsorge-Interventionen ableitbar.</w:t>
      </w:r>
    </w:p>
    <w:p>
      <w:r>
        <w:rPr>
          <w:color w:val="5A7D3A"/>
          <w:sz w:val="18"/>
        </w:rPr>
        <w:t>https://pubmed.ncbi.nlm.nih.gov/42786665/</w:t>
      </w:r>
    </w:p>
    <w:p>
      <w:pPr>
        <w:pStyle w:val="Heading2"/>
      </w:pPr>
      <w:r>
        <w:t>TA-Wiederholungen als Schwachstelle extrachromosomaler DNA im Tumor</w:t>
      </w:r>
    </w:p>
    <w:p>
      <w:r>
        <w:rPr>
          <w:i/>
          <w:color w:val="666666"/>
          <w:sz w:val="18"/>
        </w:rPr>
        <w:t>Billing D et al.  ·  Nature  ·  23.09.2026  ·  PMID 42778593</w:t>
      </w:r>
    </w:p>
    <w:p>
      <w:r>
        <w:t>Grundlagenarbeit zur Mechanik der Aufrechterhaltung extrachromosomaler DNA (ecDNA) in Krebszellen mittels Single-Cell-Sequenzierung und funktionellen Studien.</w:t>
      </w:r>
    </w:p>
    <w:p>
      <w:r>
        <w:rPr>
          <w:b/>
        </w:rPr>
        <w:t xml:space="preserve">Ergebnis: </w:t>
      </w:r>
      <w:r>
        <w:t>Polymerase-θ (Polθ) und FANCM supprimieren Bruchbildung an TA-reichen Stellen. MMEJ-Reparatur hält ecDNA stabil; Polθ-Inhibition destabilisiert ecDNA selektiv, induziert Fitnessverlust in ecDNA-abhängigen Tumoren. Therapeutisches Potenzial identifiziert.</w:t>
      </w:r>
    </w:p>
    <w:p>
      <w:r>
        <w:rPr>
          <w:b/>
          <w:sz w:val="19"/>
        </w:rPr>
        <w:t xml:space="preserve">Übertragbarkeit: </w:t>
      </w:r>
      <w:r>
        <w:rPr>
          <w:sz w:val="19"/>
        </w:rPr>
        <w:t>USA und Deutschland (Charité beteiligt); Zielstruktur für neue Wirkstoff-entwicklung, noch präklinisch.</w:t>
      </w:r>
    </w:p>
    <w:p>
      <w:r>
        <w:rPr>
          <w:color w:val="5A7D3A"/>
          <w:sz w:val="18"/>
        </w:rPr>
        <w:t>https://pubmed.ncbi.nlm.nih.gov/42778593/</w:t>
      </w:r>
    </w:p>
    <w:p>
      <w:pPr>
        <w:pStyle w:val="Heading1"/>
      </w:pPr>
      <w:r>
        <w:t>Aufgenommen am 28.09.2026</w:t>
      </w:r>
    </w:p>
    <w:p>
      <w:pPr>
        <w:pStyle w:val="Heading2"/>
      </w:pPr>
      <w:r>
        <w:t>Kanonische Action Research verbessert Protontherapie-Zuweisungsquoten: Niederländische Versorgungsstudie zeigt Implementierungsdefizite</w:t>
      </w:r>
    </w:p>
    <w:p>
      <w:r>
        <w:rPr>
          <w:i/>
          <w:color w:val="666666"/>
          <w:sz w:val="18"/>
        </w:rPr>
        <w:t>Ho F et al.  ·  Radiother Oncol  ·  27.09.2026  ·  PMID 42801959</w:t>
      </w:r>
    </w:p>
    <w:p>
      <w:r>
        <w:t>Qualitative Implementierungsstudie mit Canonical Action Research in niederländischen Radiotherapie-Zentren zu Barrieren und Interventionen bei Protontherapie-Zuweisungen für Lungen- und Ösophaguskarzinome.</w:t>
      </w:r>
    </w:p>
    <w:p>
      <w:r>
        <w:rPr>
          <w:b/>
        </w:rPr>
        <w:t xml:space="preserve">Ergebnis: </w:t>
      </w:r>
      <w:r>
        <w:t>Diagnose-Phase identifizierte Barrieren (Wissenslücken, unzureichende Koordination, Logistik). Implementierte stakeholder-entwickelte Interventionen (Logistik-Verbesserungen, Patienten-Begleiter) waren mit erhöhten Überweisungs- und Behandlungsraten an einem Zentrum assoziiert. Stakeholder-Wahrnehmung von Pathway-Design und Intervention-Angemessenheit verbesserte sich; Patienten-Zufriedenheit blieb stabil.</w:t>
      </w:r>
    </w:p>
    <w:p>
      <w:r>
        <w:rPr>
          <w:b/>
          <w:sz w:val="19"/>
        </w:rPr>
        <w:t xml:space="preserve">Übertragbarkeit: </w:t>
      </w:r>
      <w:r>
        <w:rPr>
          <w:sz w:val="19"/>
        </w:rPr>
        <w:t>Niederlande, vergleichbares Versicherungssystem; Modell übertragbar auf deutsche Zentrumsvernetzung</w:t>
      </w:r>
    </w:p>
    <w:p>
      <w:r>
        <w:rPr>
          <w:color w:val="5A7D3A"/>
          <w:sz w:val="18"/>
        </w:rPr>
        <w:t>https://pubmed.ncbi.nlm.nih.gov/42801959/</w:t>
      </w:r>
    </w:p>
    <w:p>
      <w:pPr>
        <w:pStyle w:val="Heading2"/>
      </w:pPr>
      <w:r>
        <w:t>Schlafstörungen und Müdigkeit bei Oropharyngeal-Karzinom-Radiotherapie-Überlebenden korrelieren mit Gesamtüberleben</w:t>
      </w:r>
    </w:p>
    <w:p>
      <w:r>
        <w:rPr>
          <w:i/>
          <w:color w:val="666666"/>
          <w:sz w:val="18"/>
        </w:rPr>
        <w:t>Carevic G et al.  ·  Radiother Oncol  ·  26.09.2026  ·  PMID 42800678</w:t>
      </w:r>
    </w:p>
    <w:p>
      <w:r>
        <w:t>Prospektive Longitudinalkohorte (372 Patienten mit Oropharyngeal-Karzinom unter kurativer Strahlentherapie ± Chemotherapie) zum Symptom-Verlauf und Überleben anhand patientenberichteter Outcomes (MDASI-HN).</w:t>
      </w:r>
    </w:p>
    <w:p>
      <w:r>
        <w:rPr>
          <w:b/>
        </w:rPr>
        <w:t xml:space="preserve">Ergebnis: </w:t>
      </w:r>
      <w:r>
        <w:t>Schwere Müdigkeit, Schlafstörung und Schläfrigkeit erreichten Höhepunkt bei RT-Ende (26%, 15%, 18%) und normalisierten sich bis Monat 6. Schwere longitudinale Müdigkeit (HR 5,05), Schlafstörung (HR 3,86) und Schläfrigkeit (HR 8,24) waren unabhängig mit schlechterer Overall Survival assoziiert (p &lt; 0,05). Effekt blieb nach multivariater Anpassung signifikant.</w:t>
      </w:r>
    </w:p>
    <w:p>
      <w:r>
        <w:rPr>
          <w:b/>
          <w:sz w:val="19"/>
        </w:rPr>
        <w:t xml:space="preserve">Übertragbarkeit: </w:t>
      </w:r>
      <w:r>
        <w:rPr>
          <w:sz w:val="19"/>
        </w:rPr>
        <w:t>USA-Tertiary Center; Symptom-basierte Risikoidentifikation übertragbar auf deutsche Nachsorge-Protokolle</w:t>
      </w:r>
    </w:p>
    <w:p>
      <w:r>
        <w:rPr>
          <w:color w:val="5A7D3A"/>
          <w:sz w:val="18"/>
        </w:rPr>
        <w:t>https://pubmed.ncbi.nlm.nih.gov/42800678/</w:t>
      </w:r>
    </w:p>
    <w:p>
      <w:pPr>
        <w:pStyle w:val="Heading2"/>
      </w:pPr>
      <w:r>
        <w:t>Präzisionsmedizin bei ungleicher Zugangsverteilung: Global-Audit zeigt massive Lücken zwischen Anspruch und Versorgung</w:t>
      </w:r>
    </w:p>
    <w:p>
      <w:r>
        <w:rPr>
          <w:i/>
          <w:color w:val="666666"/>
          <w:sz w:val="18"/>
        </w:rPr>
        <w:t>Casolino R et al.  ·  Lancet Oncol  ·  25.09.2026  ·  PMID 42790448</w:t>
      </w:r>
    </w:p>
    <w:p>
      <w:r>
        <w:t>Lancet-Onkologie-Kommission analysierte die globale Lage der Krebsgenetik und Präzisionsmedizin und bewertete Implementierungsbarrieren, Ungleichheiten und den Nutzen biomarker-gestützter Therapien.</w:t>
      </w:r>
    </w:p>
    <w:p>
      <w:r>
        <w:rPr>
          <w:b/>
        </w:rPr>
        <w:t xml:space="preserve">Ergebnis: </w:t>
      </w:r>
      <w:r>
        <w:t>Nur wenige validierte Biomarker-Therapie-Paare zeigen konsistente klinische Gewinne; umfassendere genomische Profiling-Ansätze erweitern Optionen für Patienten, doch profitiert nur ein kleiner Anteil von angepasster Therapie. Massive Ungleichheiten bei Zugang zur Genomik und Präzisionsmedizin bestehen länder- und populationsübergreifend. Die Studie liefert ein Implementierungs-Framework für gerechte, nachhaltige Skalierung.</w:t>
      </w:r>
    </w:p>
    <w:p>
      <w:r>
        <w:rPr>
          <w:b/>
          <w:sz w:val="19"/>
        </w:rPr>
        <w:t xml:space="preserve">Übertragbarkeit: </w:t>
      </w:r>
      <w:r>
        <w:rPr>
          <w:sz w:val="19"/>
        </w:rPr>
        <w:t>Deutsches Gesundheitssystem: zentral für Zertifizierung der Zentren und AMNOG-Bewertung</w:t>
      </w:r>
    </w:p>
    <w:p>
      <w:r>
        <w:rPr>
          <w:color w:val="5A7D3A"/>
          <w:sz w:val="18"/>
        </w:rPr>
        <w:t>https://pubmed.ncbi.nlm.nih.gov/42790448/</w:t>
      </w:r>
    </w:p>
    <w:p>
      <w:pPr>
        <w:pStyle w:val="Heading2"/>
      </w:pPr>
      <w:r>
        <w:t>Gesamtüberleben als primärer Endpunkt in Phase-III-Onkologie-Studien: Metaanalyse zeigt konsistente Gewinne</w:t>
      </w:r>
    </w:p>
    <w:p>
      <w:r>
        <w:rPr>
          <w:i/>
          <w:color w:val="666666"/>
          <w:sz w:val="18"/>
        </w:rPr>
        <w:t>Sherry AD et al.  ·  Oncologist  ·  09.09.2026  ·  PMID 42789933</w:t>
      </w:r>
    </w:p>
    <w:p>
      <w:r>
        <w:t>OPTIMA-Metaanalyse mit individualisierten Patientendaten von 159 Phase-III-Studien mit Gesamt-Überleben als primärem Endpunkt (104.740 Patienten).</w:t>
      </w:r>
    </w:p>
    <w:p>
      <w:r>
        <w:rPr>
          <w:b/>
        </w:rPr>
        <w:t xml:space="preserve">Ergebnis: </w:t>
      </w:r>
      <w:r>
        <w:t>Experimentelle Arme zeigten im Zwei-Stufen-Cox-Modell verbesserte Overall Survival (Hazard Ratio 0,87; 95%-KI 0,85–0,89; p &lt; 0,0001), bestätigt im einstufigen stratifizierten Modell (HR 0,88; 95%-KI 0,85–0,90). Befund dokumentiert, dass randomisierte Phase-III-Studien mit OS-Primärendpunkt konsistent therapeutische Fortschritte nachweisen.</w:t>
      </w:r>
    </w:p>
    <w:p>
      <w:r>
        <w:rPr>
          <w:b/>
          <w:sz w:val="19"/>
        </w:rPr>
        <w:t xml:space="preserve">Übertragbarkeit: </w:t>
      </w:r>
      <w:r>
        <w:rPr>
          <w:sz w:val="19"/>
        </w:rPr>
        <w:t>Multinationale Studienpopulation; Befunde unterstützen Regulierungs- und Finanzierungsprioritäten für OS-fokussierte Trials</w:t>
      </w:r>
    </w:p>
    <w:p>
      <w:r>
        <w:rPr>
          <w:color w:val="5A7D3A"/>
          <w:sz w:val="18"/>
        </w:rPr>
        <w:t>https://pubmed.ncbi.nlm.nih.gov/42789933/</w:t>
      </w:r>
    </w:p>
    <w:p>
      <w:pPr>
        <w:pStyle w:val="Heading2"/>
      </w:pPr>
      <w:r>
        <w:t>Alkoholkonsum und Kolorektalkarzinom-Risiko bei Prä-Diabetes und Diabetes: Südkoreanische Kohorten zeigen Synergien</w:t>
      </w:r>
    </w:p>
    <w:p>
      <w:r>
        <w:rPr>
          <w:i/>
          <w:color w:val="666666"/>
          <w:sz w:val="18"/>
        </w:rPr>
        <w:t>Kim TS et al.  ·  J Natl Cancer Inst  ·  24.09.2026  ·  PMID 42786582</w:t>
      </w:r>
    </w:p>
    <w:p>
      <w:r>
        <w:t>Nationale südkoreanische Kohortenstudie (4,475.492 Erwachsene, Median-Follow-up 9,33 Jahre) zur Dosis-Wirkung zwischen Alkoholkonsum und Kolorektalkrebs-Inzidenz nach glykämischem Status.</w:t>
      </w:r>
    </w:p>
    <w:p>
      <w:r>
        <w:rPr>
          <w:b/>
        </w:rPr>
        <w:t xml:space="preserve">Ergebnis: </w:t>
      </w:r>
      <w:r>
        <w:t>51.592 CRC-Fälle dokumentiert. Leichter bis mäßiger Alkoholkonsum erhöhte CRC-Risiko synergistisch bei Prä-Diabetes (HR 1,23; 95%-KI 1,19–1,27; Synergieindex 1,72) und Diabetes (HR 1,48; 95%-KI 1,42–1,54; Synergieindex 2,04). Dose-abhängige lineare Assoziation über alle kolorektalen Subsites, steiler bei Diabetes.</w:t>
      </w:r>
    </w:p>
    <w:p>
      <w:r>
        <w:rPr>
          <w:b/>
          <w:sz w:val="19"/>
        </w:rPr>
        <w:t xml:space="preserve">Übertragbarkeit: </w:t>
      </w:r>
      <w:r>
        <w:rPr>
          <w:sz w:val="19"/>
        </w:rPr>
        <w:t>Südkorea, hohes Screening-Aufkommen; Prävention bei Stoffwechselvorstufen setzt patientenrelevante Endpunkte voraus</w:t>
      </w:r>
    </w:p>
    <w:p>
      <w:r>
        <w:rPr>
          <w:color w:val="5A7D3A"/>
          <w:sz w:val="18"/>
        </w:rPr>
        <w:t>https://pubmed.ncbi.nlm.nih.gov/42786582/</w:t>
      </w:r>
    </w:p>
    <w:p>
      <w:pPr>
        <w:pStyle w:val="Heading2"/>
      </w:pPr>
      <w:r>
        <w:t>KI-Modelle zur Risikoprognose in der Magenkrebsnachsorge: Transfernutzen unklar</w:t>
      </w:r>
    </w:p>
    <w:p>
      <w:r>
        <w:rPr>
          <w:i/>
          <w:color w:val="666666"/>
          <w:sz w:val="18"/>
        </w:rPr>
        <w:t>Rabasco Meneghetti A  ·  Ann Oncol  ·  Okt. 2026  ·  PMID 42760040</w:t>
      </w:r>
    </w:p>
    <w:p>
      <w:r>
        <w:t>Kommentar zu DeepComp, einem KI-System für postoperative Risikostratifizierung beim Magenkarzinom; erörtert Vorhersagekompetenz und Umsetzungserfordernisse.</w:t>
      </w:r>
    </w:p>
    <w:p>
      <w:r>
        <w:rPr>
          <w:b/>
        </w:rPr>
        <w:t xml:space="preserve">Ergebnis: </w:t>
      </w:r>
      <w:r>
        <w:t>Der Kommentar diskutiert Chancen maschineller Lernverfahren zur Risikoklassifizierung, warnt aber vor Interpretationsfallen und nennt fehlende Validierung in prospektiven Kohorten als zentrale Hürde für klinische Adoption.</w:t>
      </w:r>
    </w:p>
    <w:p>
      <w:r>
        <w:rPr>
          <w:b/>
          <w:sz w:val="19"/>
        </w:rPr>
        <w:t xml:space="preserve">Übertragbarkeit: </w:t>
      </w:r>
      <w:r>
        <w:rPr>
          <w:sz w:val="19"/>
        </w:rPr>
        <w:t>Deutschland: Validierung in Zentren notwendig vor Einsatz in AMNOG- und Zertifizierungskontexten</w:t>
      </w:r>
    </w:p>
    <w:p>
      <w:r>
        <w:rPr>
          <w:color w:val="5A7D3A"/>
          <w:sz w:val="18"/>
        </w:rPr>
        <w:t>https://pubmed.ncbi.nlm.nih.gov/42760040/</w:t>
      </w:r>
    </w:p>
    <w:p>
      <w:pPr>
        <w:pStyle w:val="Heading1"/>
      </w:pPr>
      <w:r>
        <w:t>Aufgenommen am 27.09.2026</w:t>
      </w:r>
    </w:p>
    <w:p>
      <w:pPr>
        <w:pStyle w:val="Heading2"/>
      </w:pPr>
      <w:r>
        <w:t>Single-Fraction SABR gleichwertig zu Multi-Fraction bei frühem NSCLC</w:t>
      </w:r>
    </w:p>
    <w:p>
      <w:r>
        <w:rPr>
          <w:i/>
          <w:color w:val="666666"/>
          <w:sz w:val="18"/>
        </w:rPr>
        <w:t>Aguirre-Meneses KA et al.  ·  Radiother Oncol  ·  26.09.2026  ·  PMID 42800679</w:t>
      </w:r>
    </w:p>
    <w:p>
      <w:r>
        <w:t>Bevölkerungsbasierte retrospektive Analyse aus British Columbia (2021-2024): 814 Läsionen bei 778 Patienten mit peripher gelegenem T1-2N0-NSCLC, behandelt mit Single-Fraction (SF) oder Multi-Fraction (MF) SABR, Nachverfolgung median 25,8 Monate.</w:t>
      </w:r>
    </w:p>
    <w:p>
      <w:r>
        <w:rPr>
          <w:b/>
        </w:rPr>
        <w:t xml:space="preserve">Ergebnis: </w:t>
      </w:r>
      <w:r>
        <w:t>Keine signifikanten Unterschiede in 2-Jahres-Lokalversagen (3,5% vs. 4,8%, p=0,11) oder 2-Jahres-Gesamtüberleben (79,3% vs. 79,4%, p=0,62). Grad-2-Toxizität 11,5% vs. 12,4%, Grad-3-5-Toxizität 1,5% vs. 3,9% (p=0,08), Brustwandtoxizität identisch 5,0%. SF-SABR war kein unabhängiger Prädiktor für Lokalversagen oder Toxizität.</w:t>
      </w:r>
    </w:p>
    <w:p>
      <w:r>
        <w:rPr>
          <w:b/>
          <w:sz w:val="19"/>
        </w:rPr>
        <w:t xml:space="preserve">Übertragbarkeit: </w:t>
      </w:r>
      <w:r>
        <w:rPr>
          <w:sz w:val="19"/>
        </w:rPr>
        <w:t>Kanadisches System mit vergleichbarem öffentlichem Versicherungsauftrag; Kostenwirksamkeit für deutsche Strahlenkliniken relevant.</w:t>
      </w:r>
    </w:p>
    <w:p>
      <w:r>
        <w:rPr>
          <w:color w:val="5A7D3A"/>
          <w:sz w:val="18"/>
        </w:rPr>
        <w:t>https://pubmed.ncbi.nlm.nih.gov/42800679/</w:t>
      </w:r>
    </w:p>
    <w:p>
      <w:pPr>
        <w:pStyle w:val="Heading2"/>
      </w:pPr>
      <w:r>
        <w:t>Tumor-First DNA-Testing effizienter als Familienanamnese für BRCA-Screening</w:t>
      </w:r>
    </w:p>
    <w:p>
      <w:r>
        <w:rPr>
          <w:i/>
          <w:color w:val="666666"/>
          <w:sz w:val="18"/>
        </w:rPr>
        <w:t>Kloots ISH et al.  ·  Eur J Cancer  ·  19.09.2026  ·  PMID 42800309</w:t>
      </w:r>
    </w:p>
    <w:p>
      <w:r>
        <w:t>Prospektive Studie (PROMPT) mit 452 Patienten mit metastasiertem Prostatakarzinom: Vergleich tumor-first-workflow (TFW) versus familienanamnese-basierte Testung für Keimbahnvarianten in BRCA1/2, PALB2, ATM, CHEK2.</w:t>
      </w:r>
    </w:p>
    <w:p>
      <w:r>
        <w:rPr>
          <w:b/>
        </w:rPr>
        <w:t xml:space="preserve">Ergebnis: </w:t>
      </w:r>
      <w:r>
        <w:t>TFW identifizierte 22/36 (61%) aller Träger pathogener Keimbahnvarianten mit technischer Sensitivität von 97%. Gegenüber modellierter Familienanamnese-Strategie (8 vs. 22 Träger identifiziert; p&lt;0,001) war TFW deutlich überlegen mit positiv-prädiktivem Wert 51% vs. 13% und niedrigerer Anzahl zum Testen (2,0 vs. 7,9). Kosten pro entdeckter Variante: 998 € vs. 12.246 €.</w:t>
      </w:r>
    </w:p>
    <w:p>
      <w:r>
        <w:rPr>
          <w:b/>
          <w:sz w:val="19"/>
        </w:rPr>
        <w:t xml:space="preserve">Übertragbarkeit: </w:t>
      </w:r>
      <w:r>
        <w:rPr>
          <w:sz w:val="19"/>
        </w:rPr>
        <w:t>Niederländisches Gesundheitssystem mit direkter Übertragbarkeit auf deutsches Mutationsscreening-Protokoll.</w:t>
      </w:r>
    </w:p>
    <w:p>
      <w:r>
        <w:rPr>
          <w:color w:val="5A7D3A"/>
          <w:sz w:val="18"/>
        </w:rPr>
        <w:t>https://pubmed.ncbi.nlm.nih.gov/42800309/</w:t>
      </w:r>
    </w:p>
    <w:p>
      <w:pPr>
        <w:pStyle w:val="Heading2"/>
      </w:pPr>
      <w:r>
        <w:t>Spirituelle Überzeugungen hemmen Studienteilnahme schwarzer Krebspatienten massiv</w:t>
      </w:r>
    </w:p>
    <w:p>
      <w:r>
        <w:rPr>
          <w:i/>
          <w:color w:val="666666"/>
          <w:sz w:val="18"/>
        </w:rPr>
        <w:t>Gomez C et al.  ·  Int J Radiat Oncol Biol Phys  ·  25.09.2026  ·  PMID 42790602</w:t>
      </w:r>
    </w:p>
    <w:p>
      <w:r>
        <w:t>Querschnittstudie an 172 von 247 Patienten (70% Teilnahmequote) nach definitiver Strahlentherapie für GI-, thorakale, gynäkologische und HNO-Malignome (Oktober 2023–Februar 2024): Psychosoziale Faktoren und Studieneinschlusshindernisse.</w:t>
      </w:r>
    </w:p>
    <w:p>
      <w:r>
        <w:rPr>
          <w:b/>
        </w:rPr>
        <w:t xml:space="preserve">Ergebnis: </w:t>
      </w:r>
      <w:r>
        <w:t>Schwarze Patienten (n=42, 24%) waren weniger verheiratet (16,7% vs. 68,8%; p&lt;0,001), geringer gebildet und hatten niedrigeres Einkommen ($69.318 vs. $106.823; p&lt;0,001). Obwohl gleich viele zur Teilnahme eingeladen (17,9% vs. 21,7%), stimmten weniger schwarze Patienten zu (17,1% vs. 31,9%; p&lt;0,001). Höhere Religiosität senkte Teilnahmebereitschaft um 44% (p=0,036). 48% schwarzer vs. 17,3% weißer Patienten glaubten, dass Gott Heilung bestimmt (p=0,024); 18% schwarzer vs. 3,6% weißer Patienten misstrauten klinischer Forschung (p=0,001).</w:t>
      </w:r>
    </w:p>
    <w:p>
      <w:r>
        <w:rPr>
          <w:b/>
          <w:sz w:val="19"/>
        </w:rPr>
        <w:t xml:space="preserve">Übertragbarkeit: </w:t>
      </w:r>
      <w:r>
        <w:rPr>
          <w:sz w:val="19"/>
        </w:rPr>
        <w:t>USA - Disparitäten-fokussiertes qualitatives Forschungsdesign; deutsche Rekrutierungsstrategien müssen kulturelle und religiöse Faktoren adressieren.</w:t>
      </w:r>
    </w:p>
    <w:p>
      <w:r>
        <w:rPr>
          <w:color w:val="5A7D3A"/>
          <w:sz w:val="18"/>
        </w:rPr>
        <w:t>https://pubmed.ncbi.nlm.nih.gov/42790602/</w:t>
      </w:r>
    </w:p>
    <w:p>
      <w:pPr>
        <w:pStyle w:val="Heading2"/>
      </w:pPr>
      <w:r>
        <w:t>Komplexe Genomik verzögert Zugang zu Essential Cancer Medicines global</w:t>
      </w:r>
    </w:p>
    <w:p>
      <w:r>
        <w:rPr>
          <w:i/>
          <w:color w:val="666666"/>
          <w:sz w:val="18"/>
        </w:rPr>
        <w:t>Vokinger KN et al.  ·  Lancet Oncol  ·  25.09.2026  ·  PMID 42790449</w:t>
      </w:r>
    </w:p>
    <w:p>
      <w:r>
        <w:t>Retrospektive Analyse der Verfügbarkeit von 41 Essential Cancer Medicines auf der WHO-Liste zwischen 2002 und 2023 in 71 Ländern, unterschieden nach Anforderung an Immunhistochemie, komplexe Genomik oder keine Diagnostik.</w:t>
      </w:r>
    </w:p>
    <w:p>
      <w:r>
        <w:rPr>
          <w:b/>
        </w:rPr>
        <w:t xml:space="preserve">Ergebnis: </w:t>
      </w:r>
      <w:r>
        <w:t>Arzneien, die komplexe genomische Diagnostik erfordern, zeigen 65% niedrigere Aufnahmevolumina als solche ohne Diagnostik-Anforderung (Regressionskoeffizient −0,453, p&lt;0,0001). In Ländern mit niedrigem BIP (&lt;11.000 USD) werden nur 44% der Arzneien mit komplexer Genomik eingesetzt, gegenüber 79% in Ländern mit hohem BIP (&gt;33.000 USD). Die Aufnahme zeigt, dass WHO-EML-Listung allein für Zugang insufficient ist.</w:t>
      </w:r>
    </w:p>
    <w:p>
      <w:r>
        <w:rPr>
          <w:b/>
          <w:sz w:val="19"/>
        </w:rPr>
        <w:t xml:space="preserve">Übertragbarkeit: </w:t>
      </w:r>
      <w:r>
        <w:rPr>
          <w:sz w:val="19"/>
        </w:rPr>
        <w:t>Zeigt strukturelle Barrieren für Precision Oncology in Ländern mit begrenzter diagnostischer Infrastruktur; international vergleichbar.</w:t>
      </w:r>
    </w:p>
    <w:p>
      <w:r>
        <w:rPr>
          <w:color w:val="5A7D3A"/>
          <w:sz w:val="18"/>
        </w:rPr>
        <w:t>https://pubmed.ncbi.nlm.nih.gov/42790449/</w:t>
      </w:r>
    </w:p>
    <w:p>
      <w:pPr>
        <w:pStyle w:val="Heading2"/>
      </w:pPr>
      <w:r>
        <w:t>Venetoclax + Inotuzumab ozogamicin erzielt 95% komplette Remission im rezidivierten/refraktären B-ALL</w:t>
      </w:r>
    </w:p>
    <w:p>
      <w:r>
        <w:rPr>
          <w:i/>
          <w:color w:val="666666"/>
          <w:sz w:val="18"/>
        </w:rPr>
        <w:t>Luskin MR et al.  ·  Blood  ·  25.09.2026  ·  PMID 42789493</w:t>
      </w:r>
    </w:p>
    <w:p>
      <w:r>
        <w:t>Phase-1-Studie (23 Patienten, 15 ALL, 8 LBL): Kombination BCL-2-Inhibitor Venetoclax (VEN 400 mg/Tag 21 Tage) plus CD22-Antikörper-Wirkstoff-Konjugat Inotuzumab ozogamicin (Standard-Dosis) bei rezidiviertem/refraktärem CD22+ B-ALL/lymphoblastischem Lymphom.</w:t>
      </w:r>
    </w:p>
    <w:p>
      <w:r>
        <w:rPr>
          <w:b/>
        </w:rPr>
        <w:t xml:space="preserve">Ergebnis: </w:t>
      </w:r>
      <w:r>
        <w:t>Von 22 evaluablen Patienten erreichten 21 (95,5%) komplette Remission, 19 nach einem Zyklus. Messbare Resterkrankung (MRD) negativ in 88,9% (Flow &lt;10⁻⁴) und 73,7% (NGS &lt;10⁻⁶). Zwei-Jahres-krankheitsfreies Überleben 48% (95% KI 24–72%), medianes Gesamtüberleben nicht erreicht. Nebenwirkungen Grad ≥3: Thrombozytopenie 43,5%, Neutropenie 39,1%, sinusoidales obstruktives Syndrom 4 Patienten. MRD-Negativität korrelierte mit BCL-2-Abhängigkeit; Progression verband sich mit MCL-1-Abhängigkeit, CD22-Escape, ABCB1-Expression.</w:t>
      </w:r>
    </w:p>
    <w:p>
      <w:r>
        <w:rPr>
          <w:b/>
          <w:sz w:val="19"/>
        </w:rPr>
        <w:t xml:space="preserve">Übertragbarkeit: </w:t>
      </w:r>
      <w:r>
        <w:rPr>
          <w:sz w:val="19"/>
        </w:rPr>
        <w:t>USA-Zentrum, Phase 1; internationale Wirkstoffkombination, Übertragung auf Deutschland abhängig von Zulassung und lokaler ALL-Protokoll-Integration.</w:t>
      </w:r>
    </w:p>
    <w:p>
      <w:r>
        <w:rPr>
          <w:color w:val="5A7D3A"/>
          <w:sz w:val="18"/>
        </w:rPr>
        <w:t>https://pubmed.ncbi.nlm.nih.gov/42789493/</w:t>
      </w:r>
    </w:p>
    <w:p>
      <w:pPr>
        <w:pStyle w:val="Heading2"/>
      </w:pPr>
      <w:r>
        <w:t>Körperliche Aktivität verbessert Krankheitsfreies Überleben bei ctDNA-negativem Kolonkarzinom</w:t>
      </w:r>
    </w:p>
    <w:p>
      <w:r>
        <w:rPr>
          <w:i/>
          <w:color w:val="666666"/>
          <w:sz w:val="18"/>
        </w:rPr>
        <w:t>Zhang GQ et al.  ·  J Natl Cancer Inst  ·  24.09.2026  ·  PMID 42786576</w:t>
      </w:r>
    </w:p>
    <w:p>
      <w:r>
        <w:t>Post-hoc-Analyse der Phase-III-Studie CALGB/SWOG 80702 (763 Patienten Stage III Kolonkarzinom): Assoziation von körperlicher Aktivität (gemessen in MET-Stunden/Woche) und postoperativem Überleben, stratifiziert nach zirkulierender Tumor-DNA (ctDNA).</w:t>
      </w:r>
    </w:p>
    <w:p>
      <w:r>
        <w:rPr>
          <w:b/>
        </w:rPr>
        <w:t xml:space="preserve">Ergebnis: </w:t>
      </w:r>
      <w:r>
        <w:t>Bei ctDNA-negativen Patienten zeigten moderate (HR 0,58, 95% KI 0,37–0,91) und hohe körperliche Aktivität (HR 0,49, 95% KI 0,27–0,86) versus Inaktivität verbessertes krankheitsfreies Überleben. Bei ctDNA-positiven Patienten war körperliche Aktivität nicht prognostisch (p&gt;0,05). Physische Aktivität plus adjuvantes Celecoxib zeigte Vorteil in beiden Gruppen (ctDNA-positiv: HR 0,29, 95% KI 0,15–0,57).</w:t>
      </w:r>
    </w:p>
    <w:p>
      <w:r>
        <w:rPr>
          <w:b/>
          <w:sz w:val="19"/>
        </w:rPr>
        <w:t xml:space="preserve">Übertragbarkeit: </w:t>
      </w:r>
      <w:r>
        <w:rPr>
          <w:sz w:val="19"/>
        </w:rPr>
        <w:t>Nordamerikanische Kohortenstudie; ctDNA-Analytik national nur in Zentren verfügbar, Aktivitätsinterventionen aber universell umsetzbar.</w:t>
      </w:r>
    </w:p>
    <w:p>
      <w:r>
        <w:rPr>
          <w:color w:val="5A7D3A"/>
          <w:sz w:val="18"/>
        </w:rPr>
        <w:t>https://pubmed.ncbi.nlm.nih.gov/42786576/</w:t>
      </w:r>
    </w:p>
    <w:p>
      <w:pPr>
        <w:pStyle w:val="Heading2"/>
      </w:pPr>
      <w:r>
        <w:t>Evorpacept + Trastuzumab/Ramucirumab/Paclitaxel verbessert Ansprechrate im HER2+ Magenkarzinom</w:t>
      </w:r>
    </w:p>
    <w:p>
      <w:r>
        <w:rPr>
          <w:i/>
          <w:color w:val="666666"/>
          <w:sz w:val="18"/>
        </w:rPr>
        <w:t>Shitara K et al.  ·  Nat Med  ·  24.09.2026  ·  PMID 42786305</w:t>
      </w:r>
    </w:p>
    <w:p>
      <w:r>
        <w:t>Phase-2-Portion der randomisierten Studie ASPEN-06 (127 Patienten mit vorbehandeltem HER2-überexprimiertem metastasiertem Magen-/Ösophaguskarzinom): Evorpacept (CD47-SIRPα-Blocker) plus Standard-Tripel (TRP) versus TRP allein.</w:t>
      </w:r>
    </w:p>
    <w:p>
      <w:r>
        <w:rPr>
          <w:b/>
        </w:rPr>
        <w:t xml:space="preserve">Ergebnis: </w:t>
      </w:r>
      <w:r>
        <w:t>Primärer Endpunkt: Objektive Ansprechrate (ORR) investigator-assessed 40,3% (Evo+TRP) vs. 26,6% (TRP) in ITT-Population (Differenz 13,7%, p&lt;0,001), in Fresh-Biopsy-HER2+-Subgruppe 54,8% vs. 23,1% (Differenz 31,7%). Differenzen überschritten Schwellen, aber vs. historischem Benchmark (30%) verfehlte nur Fresh-Biopsy-Gruppe Signifikanz knapp (p=0,030 one-sided). Toxizitäten vergleichbar mit etabliertem Profil.</w:t>
      </w:r>
    </w:p>
    <w:p>
      <w:r>
        <w:rPr>
          <w:b/>
          <w:sz w:val="19"/>
        </w:rPr>
        <w:t xml:space="preserve">Übertragbarkeit: </w:t>
      </w:r>
      <w:r>
        <w:rPr>
          <w:sz w:val="19"/>
        </w:rPr>
        <w:t>Internationale Phase-2-Studie; Zulassungsfähigkeit zu klären, Übertragung auf Deutschland abhängig von Zulassung und Amnog-Bewertung.</w:t>
      </w:r>
    </w:p>
    <w:p>
      <w:r>
        <w:rPr>
          <w:color w:val="5A7D3A"/>
          <w:sz w:val="18"/>
        </w:rPr>
        <w:t>https://pubmed.ncbi.nlm.nih.gov/42786305/</w:t>
      </w:r>
    </w:p>
    <w:p>
      <w:pPr>
        <w:pStyle w:val="Heading1"/>
      </w:pPr>
      <w:r>
        <w:t>Aufgenommen am 26.09.2026</w:t>
      </w:r>
    </w:p>
    <w:p>
      <w:pPr>
        <w:pStyle w:val="Heading2"/>
      </w:pPr>
      <w:r>
        <w:t>Reduzierte Dosis für elektive Halsknotenbest. in Nasopharynxkarzinom: 5-Jahres-Sicherheit</w:t>
      </w:r>
    </w:p>
    <w:p>
      <w:r>
        <w:rPr>
          <w:i/>
          <w:color w:val="666666"/>
          <w:sz w:val="18"/>
        </w:rPr>
        <w:t>Chen X et al.  ·  Radiother Oncol  ·  25.09.2026  ·  PMID 42790787</w:t>
      </w:r>
    </w:p>
    <w:p>
      <w:r>
        <w:t>Retrospektive Kohorte mit 752 Patienten zu Langzeiteffizienz und Organschonung bei De-Eskalation der elektiven Halsknotenbestrahlung von 50 Gy auf 45 Gy EQD2 bei intensitätsmodulierter Radiotherapie.</w:t>
      </w:r>
    </w:p>
    <w:p>
      <w:r>
        <w:rPr>
          <w:b/>
        </w:rPr>
        <w:t xml:space="preserve">Ergebnis: </w:t>
      </w:r>
      <w:r>
        <w:t>5-Jahres-Regionalkontrollen 97,3 %, Gesamtüberleben 89,7 %. Nur 0,7 % isolierte Rezidive in der 45-Gy-Dosis. Vergleichspläne zeigten signifikante Dosisreduktion für alle Risikoorgane (p &lt; 0,001) mit bedeutsamen NTCP-Reduktionen für Parotisfunktionsverlust, Dysphagie und Hypothyreose (alle p &lt; 0,001).</w:t>
      </w:r>
    </w:p>
    <w:p>
      <w:r>
        <w:rPr>
          <w:b/>
          <w:sz w:val="19"/>
        </w:rPr>
        <w:t xml:space="preserve">Übertragbarkeit: </w:t>
      </w:r>
      <w:r>
        <w:rPr>
          <w:sz w:val="19"/>
        </w:rPr>
        <w:t>Chinesische Daten, internationales Standard-Bestrahlungsprotokoll, direkt übertragbar.</w:t>
      </w:r>
    </w:p>
    <w:p>
      <w:r>
        <w:rPr>
          <w:color w:val="5A7D3A"/>
          <w:sz w:val="18"/>
        </w:rPr>
        <w:t>https://pubmed.ncbi.nlm.nih.gov/42790787/</w:t>
      </w:r>
    </w:p>
    <w:p>
      <w:pPr>
        <w:pStyle w:val="Heading2"/>
      </w:pPr>
      <w:r>
        <w:t>Iberdomid + Daratumumab gegen Bortezomib bei Myelom: MRD-negative Remissionen verdoppelt</w:t>
      </w:r>
    </w:p>
    <w:p>
      <w:r>
        <w:rPr>
          <w:i/>
          <w:color w:val="666666"/>
          <w:sz w:val="18"/>
        </w:rPr>
        <w:t>Lonial S et al.  ·  Lancet Oncol  ·  25.09.2026  ·  PMID 42790445</w:t>
      </w:r>
    </w:p>
    <w:p>
      <w:r>
        <w:t>Phase-3-Studie (EXCALIBER-RRMM) mit 420 Patienten, randomisiert zum Vergleich Iberdomid/Daratumumab/Dexamethason vs. Daratumumab/Bortezomib/Dexamethason bei rezidiviertem/refraktärem Myelom.</w:t>
      </w:r>
    </w:p>
    <w:p>
      <w:r>
        <w:rPr>
          <w:b/>
        </w:rPr>
        <w:t xml:space="preserve">Ergebnis: </w:t>
      </w:r>
      <w:r>
        <w:t>MRD-negative komplette Remissionen (Fluoreszenzfluss &lt;10−5) 41 % vs. 21 % (odds ratio 2,8; 95%-KI 1,8–4,3; p &lt; 0,0001). Grad-3/4-Nebenwirkungen in 92 % vs. 70 % (Neutropenie 84 % vs. 11 %, Infektionen 39 % vs. 22 %), managebar mit Supportivtherapie.</w:t>
      </w:r>
    </w:p>
    <w:p>
      <w:r>
        <w:rPr>
          <w:b/>
          <w:sz w:val="19"/>
        </w:rPr>
        <w:t xml:space="preserve">Übertragbarkeit: </w:t>
      </w:r>
      <w:r>
        <w:rPr>
          <w:sz w:val="19"/>
        </w:rPr>
        <w:t>Internationale Studie, zentraler europäischer Einsatz in AMNOG-Verfahren zu prüfen.</w:t>
      </w:r>
    </w:p>
    <w:p>
      <w:r>
        <w:rPr>
          <w:color w:val="5A7D3A"/>
          <w:sz w:val="18"/>
        </w:rPr>
        <w:t>https://pubmed.ncbi.nlm.nih.gov/42790445/</w:t>
      </w:r>
    </w:p>
    <w:p>
      <w:pPr>
        <w:pStyle w:val="Heading2"/>
      </w:pPr>
      <w:r>
        <w:t>Online adaptive Radiotherapie bei Prostatakarzinom: weniger Toxizität, bessere Lebensqualität</w:t>
      </w:r>
    </w:p>
    <w:p>
      <w:r>
        <w:rPr>
          <w:i/>
          <w:color w:val="666666"/>
          <w:sz w:val="18"/>
        </w:rPr>
        <w:t>Kalinauskaite G et al.  ·  Strahlenther Onkol  ·  25.09.2026  ·  PMID 42789071</w:t>
      </w:r>
    </w:p>
    <w:p>
      <w:r>
        <w:t>Prospektive Studie zum Vergleich der akuten Toxizität und Lebensqualität bei adaptiver MRT-gestützter Online-Bestrahlung vs. konventioneller bildgestützter Radiotherapie bei Prostatakarzinom mit moderat hypofraktioniertem Schema.</w:t>
      </w:r>
    </w:p>
    <w:p>
      <w:r>
        <w:rPr>
          <w:b/>
        </w:rPr>
        <w:t xml:space="preserve">Ergebnis: </w:t>
      </w:r>
      <w:r>
        <w:t>Adaptive Radiotherapie war mit günstigerem gastrointestinalem Toxizitätsprofil assoziiert (niedrigere maximale Toxizitätsgrade; p = 0,028). Patienten der Vergleichsgruppe zeigten häufiger klinisch bedeutsame Verschlechterungen bei Fatigue (74 % vs. 37 %; p = 0,004), körperlicher Funktionsfähigkeit (27 % vs. 3 %; p = 0,009) und Rollenerfüllung (48,1 % vs. 22,9 %; p = 0,04).</w:t>
      </w:r>
    </w:p>
    <w:p>
      <w:r>
        <w:rPr>
          <w:b/>
          <w:sz w:val="19"/>
        </w:rPr>
        <w:t xml:space="preserve">Übertragbarkeit: </w:t>
      </w:r>
      <w:r>
        <w:rPr>
          <w:sz w:val="19"/>
        </w:rPr>
        <w:t>Deutsches Zentrumsmodell, Charité und Ulm, validierbar für deutsche Routineversorgung.</w:t>
      </w:r>
    </w:p>
    <w:p>
      <w:r>
        <w:rPr>
          <w:color w:val="5A7D3A"/>
          <w:sz w:val="18"/>
        </w:rPr>
        <w:t>https://pubmed.ncbi.nlm.nih.gov/42789071/</w:t>
      </w:r>
    </w:p>
    <w:p>
      <w:pPr>
        <w:pStyle w:val="Heading2"/>
      </w:pPr>
      <w:r>
        <w:t>Zentralisierte MRT-geführte adaptive Brachytherapie für Zervixkarzinom in Österreich: Durchführbarkeit und Ergebnisse</w:t>
      </w:r>
    </w:p>
    <w:p>
      <w:r>
        <w:rPr>
          <w:i/>
          <w:color w:val="666666"/>
          <w:sz w:val="18"/>
        </w:rPr>
        <w:t>Knoth J et al.  ·  Strahlenther Onkol  ·  25.09.2026  ·  PMID 42789070</w:t>
      </w:r>
    </w:p>
    <w:p>
      <w:r>
        <w:t>Retrospektive Kohortenstudie zur Machbarkeit eines österreichischen Zentranzugangsmodells mit dezentraler Perkutanstrahlung und zentralisierter MRT-gestützter adaptiver Brachytherapie bei 89 Patienten mit FIGO IB–IVA Zervixkarzinom (2018–2022).</w:t>
      </w:r>
    </w:p>
    <w:p>
      <w:r>
        <w:rPr>
          <w:b/>
        </w:rPr>
        <w:t xml:space="preserve">Ergebnis: </w:t>
      </w:r>
      <w:r>
        <w:t>3-Jahres-Gesamtüberleben 74 %, Lokalkontrollen 95 %, Beckenregionalkontrollen 95 %. Grad-≥3-Morbidität bei 26,1 %. Mediane Gesamtbehandlungsdauer 50 Tage. Durchführbarkeit und Qualität bestätigt, auch bei paraaortischen Metastasen (17 %).</w:t>
      </w:r>
    </w:p>
    <w:p>
      <w:r>
        <w:rPr>
          <w:b/>
          <w:sz w:val="19"/>
        </w:rPr>
        <w:t xml:space="preserve">Übertragbarkeit: </w:t>
      </w:r>
      <w:r>
        <w:rPr>
          <w:sz w:val="19"/>
        </w:rPr>
        <w:t>Österreichisches Verbundsystem direkt auf deutsche Zentrumslandschaft übertragbar.</w:t>
      </w:r>
    </w:p>
    <w:p>
      <w:r>
        <w:rPr>
          <w:color w:val="5A7D3A"/>
          <w:sz w:val="18"/>
        </w:rPr>
        <w:t>https://pubmed.ncbi.nlm.nih.gov/42789070/</w:t>
      </w:r>
    </w:p>
    <w:p>
      <w:pPr>
        <w:pStyle w:val="Heading2"/>
      </w:pPr>
      <w:r>
        <w:t>Frühe Palliativversorgung für afroamerikanische und rural wohnhafte Angehörige: Langzeitergebnisse</w:t>
      </w:r>
    </w:p>
    <w:p>
      <w:r>
        <w:rPr>
          <w:i/>
          <w:color w:val="666666"/>
          <w:sz w:val="18"/>
        </w:rPr>
        <w:t>Odom JN et al.  ·  J Natl Cancer Inst  ·  24.09.2026  ·  PMID 42786668</w:t>
      </w:r>
    </w:p>
    <w:p>
      <w:r>
        <w:t>Randomisierte Studie (ENABLE Cornerstone) bei 222 Angehörigen und 165 Patienten mit fortgeschrittenem Krebsleiden; Intervention: Laienkurs-geführte Palliativberatung für Pflegepersonen vs. Standardversorgung über 36–48 Wochen.</w:t>
      </w:r>
    </w:p>
    <w:p>
      <w:r>
        <w:rPr>
          <w:b/>
        </w:rPr>
        <w:t xml:space="preserve">Ergebnis: </w:t>
      </w:r>
      <w:r>
        <w:t>Pflegepersonen der Interventionsgruppe: niedrigere Anforderungsbelastung (Differenz −1,54; Cohen's d −0,41; p = 0,03) bei 36 Wochen. Patienten: niedriger depressive Symptome bei 36 Wochen (Differenz −1,53; p = 0,048) und bessere körperliche Lebensqualität bei 48 Wochen (Differenz +3,93; p = 0,02). Effekte bei Subgruppen mit strukturellen Zugangsbarrieren bedeutsam.</w:t>
      </w:r>
    </w:p>
    <w:p>
      <w:r>
        <w:rPr>
          <w:b/>
          <w:sz w:val="19"/>
        </w:rPr>
        <w:t xml:space="preserve">Übertragbarkeit: </w:t>
      </w:r>
      <w:r>
        <w:rPr>
          <w:sz w:val="19"/>
        </w:rPr>
        <w:t>USA, unterrepräsentierte Bevölkerungsgruppen; Modell für deutsche Versorgungslücken anwendbar.</w:t>
      </w:r>
    </w:p>
    <w:p>
      <w:r>
        <w:rPr>
          <w:color w:val="5A7D3A"/>
          <w:sz w:val="18"/>
        </w:rPr>
        <w:t>https://pubmed.ncbi.nlm.nih.gov/42786668/</w:t>
      </w:r>
    </w:p>
    <w:p>
      <w:pPr>
        <w:pStyle w:val="Heading2"/>
      </w:pPr>
      <w:r>
        <w:t>Keramidsynthese und YAP-Signalweg treiben Kolonkarzinom-Metastasen</w:t>
      </w:r>
    </w:p>
    <w:p>
      <w:r>
        <w:rPr>
          <w:i/>
          <w:color w:val="666666"/>
          <w:sz w:val="18"/>
        </w:rPr>
        <w:t>Goswami S et al.  ·  Science  ·  24.09.2026  ·  PMID 42784694</w:t>
      </w:r>
    </w:p>
    <w:p>
      <w:r>
        <w:t>Mechanistische Studie in Zellsystemen und Tiermodellen zur Rolle von de-novo-Keramidsynthese, Desaturase Degs1 und YAP-Signalweg in der Initiierung von Kolorektalkarzinom-Metastasen unter Einfluss diätetischen Fetts.</w:t>
      </w:r>
    </w:p>
    <w:p>
      <w:r>
        <w:rPr>
          <w:b/>
        </w:rPr>
        <w:t xml:space="preserve">Ergebnis: </w:t>
      </w:r>
      <w:r>
        <w:t>Dietäres Fett löst anhaltende Keramidakkumulation aus → YAP-Aktivierung über PP2A-Dephosphorylierung → YAP-DR-Programm mit Basp1-Expression. Degs1-Knockout reduzierten Keramidspiegel, YAP-Aktivität und Metastasierung ohne Primärtumor-Wachstum zu beeinflussen. Basp1-high-Zellen waren erforderlich für Metastasierungsseeding.</w:t>
      </w:r>
    </w:p>
    <w:p>
      <w:r>
        <w:rPr>
          <w:b/>
          <w:sz w:val="19"/>
        </w:rPr>
        <w:t xml:space="preserve">Übertragbarkeit: </w:t>
      </w:r>
      <w:r>
        <w:rPr>
          <w:sz w:val="19"/>
        </w:rPr>
        <w:t>USA-Daten, Grundlagenarbeit; therapeutisches Ansatzpotential (Keramid-Inhibition) für klinische Translation.</w:t>
      </w:r>
    </w:p>
    <w:p>
      <w:r>
        <w:rPr>
          <w:color w:val="5A7D3A"/>
          <w:sz w:val="18"/>
        </w:rPr>
        <w:t>https://pubmed.ncbi.nlm.nih.gov/42784694/</w:t>
      </w:r>
    </w:p>
    <w:p>
      <w:pPr>
        <w:pStyle w:val="Heading2"/>
      </w:pPr>
      <w:r>
        <w:t>IDH-mutantes Gliom: Hirngeometrie und Hypoxie strukturieren Tumororganisation</w:t>
      </w:r>
    </w:p>
    <w:p>
      <w:r>
        <w:rPr>
          <w:i/>
          <w:color w:val="666666"/>
          <w:sz w:val="18"/>
        </w:rPr>
        <w:t>Hoefflin R et al.  ·  Cancer Cell  ·  14.09.2026  ·  PMID 42735681</w:t>
      </w:r>
    </w:p>
    <w:p>
      <w:r>
        <w:t>Räumlich-translationale Studie kombiniert Einzelzell-Proteomik und räumliche Transkriptomik bei IDH-mutierten Gliomen über alle Tumorgrade hinweg, um organisatorische Prinzipien von Tumorprogression zu identifizieren.</w:t>
      </w:r>
    </w:p>
    <w:p>
      <w:r>
        <w:rPr>
          <w:b/>
        </w:rPr>
        <w:t xml:space="preserve">Ergebnis: </w:t>
      </w:r>
      <w:r>
        <w:t>Frühe Tumore: anatomisch-getriebene Organisation an weiß-grauer Substanzgrenze, Oligodendrozyten-Vorläufer (OPC)-ähnliche Zellen preferenziell dort selektioniert. Intermediate Tumore: Desorganisation mit wenigen Zell-Wechselwirkungen. Hochtgradige: Hypoxie-assoziierte Struktur ähnlich IDH-Wildtyp-Glioblastom. Zwei unabhängige räumliche Organisationsachsen.</w:t>
      </w:r>
    </w:p>
    <w:p>
      <w:r>
        <w:rPr>
          <w:b/>
          <w:sz w:val="19"/>
        </w:rPr>
        <w:t xml:space="preserve">Übertragbarkeit: </w:t>
      </w:r>
      <w:r>
        <w:rPr>
          <w:sz w:val="19"/>
        </w:rPr>
        <w:t>Europäisch-israelische Kooperation, Grundlagen für Zielpriorisierung bei Gliom-Therapie.</w:t>
      </w:r>
    </w:p>
    <w:p>
      <w:r>
        <w:rPr>
          <w:color w:val="5A7D3A"/>
          <w:sz w:val="18"/>
        </w:rPr>
        <w:t>https://pubmed.ncbi.nlm.nih.gov/42735681/</w:t>
      </w:r>
    </w:p>
    <w:p>
      <w:pPr>
        <w:pStyle w:val="Heading1"/>
      </w:pPr>
      <w:r>
        <w:t>Aufgenommen am 25.09.2026</w:t>
      </w:r>
    </w:p>
    <w:p>
      <w:pPr>
        <w:pStyle w:val="Heading2"/>
      </w:pPr>
      <w:r>
        <w:t>Adaptive Hoffnung in der Onkologie – Klinischer Rahmen für patientenzentrierte Kommunikation</w:t>
      </w:r>
    </w:p>
    <w:p>
      <w:r>
        <w:rPr>
          <w:i/>
          <w:color w:val="666666"/>
          <w:sz w:val="18"/>
        </w:rPr>
        <w:t>Cherny NI et al.  ·  ESMO Open  ·  24.07.2026  ·  PMID 42785913</w:t>
      </w:r>
    </w:p>
    <w:p>
      <w:r>
        <w:t>Narrative Übersichtsarbeit (Synthesis empirischer und konzeptioneller Literatur): Hope und Despair als zentrale, oft ko-existierende Dimensionen der Krebserfahrung – ihre Determinanten, klinischen Manifestationen und Implikationen für Kommunikation und Entscheidungsfindung über die Krankheitstrajectory.</w:t>
      </w:r>
    </w:p>
    <w:p>
      <w:r>
        <w:rPr>
          <w:b/>
        </w:rPr>
        <w:t xml:space="preserve">Ergebnis: </w:t>
      </w:r>
      <w:r>
        <w:t>Hoffnung ist dynamisches, multidimensionales Konstrukt, das sich über Zeit evolves – initial auf Heilung ausgerichtet, rekalibriert oft zu erreichbaren Zielen (Symptomkontrolle, Funktion, Sinnstiftung, Würde, spiritueller Frieden). Adaptive, realitätskongruente Hoffnung durch ehrliche, mitfühlende, relational fundierte Kommunikation nachhaltig. Klinische Competency: Psychospiritual-, Relational-, interdisziplinäre Approaches (empathische Kommunikation, Symptommanagement, Meaning-Centered Interventions, Dignity-Conserving Care).</w:t>
      </w:r>
    </w:p>
    <w:p>
      <w:r>
        <w:rPr>
          <w:b/>
          <w:sz w:val="19"/>
        </w:rPr>
        <w:t xml:space="preserve">Übertragbarkeit: </w:t>
      </w:r>
      <w:r>
        <w:rPr>
          <w:sz w:val="19"/>
        </w:rPr>
        <w:t>Internationale Expert-Synthesis, direkt auf deutsches Gesundheitssystem übertragbar.</w:t>
      </w:r>
    </w:p>
    <w:p>
      <w:r>
        <w:rPr>
          <w:color w:val="5A7D3A"/>
          <w:sz w:val="18"/>
        </w:rPr>
        <w:t>https://pubmed.ncbi.nlm.nih.gov/42785913/</w:t>
      </w:r>
    </w:p>
    <w:p>
      <w:pPr>
        <w:pStyle w:val="Heading2"/>
      </w:pPr>
      <w:r>
        <w:t>Trastuzumab emtansine bei HER2+ extramammärer Paget-Erkrankung – 92,9% Ansprechrate</w:t>
      </w:r>
    </w:p>
    <w:p>
      <w:r>
        <w:rPr>
          <w:i/>
          <w:color w:val="666666"/>
          <w:sz w:val="18"/>
        </w:rPr>
        <w:t>Arakawa S et al.  ·  ESMO Open  ·  21.07.2026  ·  PMID 42785912</w:t>
      </w:r>
    </w:p>
    <w:p>
      <w:r>
        <w:t>Phase-II-Studie TEMENOS-2: 14 japanische Patienten mit HER2-positivem metastasiertem Paget-Karzinom (extramammär), Firstline Trastuzumab emtansine 3,6 mg/kg alle 3 Wochen bis 2 Jahre.</w:t>
      </w:r>
    </w:p>
    <w:p>
      <w:r>
        <w:rPr>
          <w:b/>
        </w:rPr>
        <w:t xml:space="preserve">Ergebnis: </w:t>
      </w:r>
      <w:r>
        <w:t>Objektive Ansprechquote (zentrale Bewertung) 92,9% [95% CI 66,1%–99,8%]: 2 komplette, 11 partielle Remissionen, 1 Progression. Median-PFS 16,95 Monate [95% CI 5,75–n.e.]. Median-OS nicht erreicht. Grade-3-Nebenwirkungen in 42,9%, keine ≥4. Erste prospektive Evidenz für HER2-dirigierte ADC in dieser Entität.</w:t>
      </w:r>
    </w:p>
    <w:p>
      <w:r>
        <w:rPr>
          <w:b/>
          <w:sz w:val="19"/>
        </w:rPr>
        <w:t xml:space="preserve">Übertragbarkeit: </w:t>
      </w:r>
      <w:r>
        <w:rPr>
          <w:sz w:val="19"/>
        </w:rPr>
        <w:t>Japanische Studie, kleine Fallzahl (n=14); für Deutschland Übertragbarkeit HER2+ seltene Tumoren.</w:t>
      </w:r>
    </w:p>
    <w:p>
      <w:r>
        <w:rPr>
          <w:color w:val="5A7D3A"/>
          <w:sz w:val="18"/>
        </w:rPr>
        <w:t>https://pubmed.ncbi.nlm.nih.gov/42785912/</w:t>
      </w:r>
    </w:p>
    <w:p>
      <w:pPr>
        <w:pStyle w:val="Heading2"/>
      </w:pPr>
      <w:r>
        <w:t>Atezolizumab plus pertuzumab, trastuzumab, Chemotherapie – kein Vorteil für Gesamtüberleben</w:t>
      </w:r>
    </w:p>
    <w:p>
      <w:r>
        <w:rPr>
          <w:i/>
          <w:color w:val="666666"/>
          <w:sz w:val="18"/>
        </w:rPr>
        <w:t>Huober J et al.  ·  ESMO Open  ·  24.09.2026  ·  PMID 42785163</w:t>
      </w:r>
    </w:p>
    <w:p>
      <w:r>
        <w:t>Phase-III-Studie (IMpassion050): Neoadjuvante Atezolizumab-Addition zur Standard-Therapie bei HER2-positivem Frühbrustkrebs hohen Risikos – Intention-to-treat und PD-L1-positive Kohorte.</w:t>
      </w:r>
    </w:p>
    <w:p>
      <w:r>
        <w:rPr>
          <w:b/>
        </w:rPr>
        <w:t xml:space="preserve">Ergebnis: </w:t>
      </w:r>
      <w:r>
        <w:t>3-Jahres-Event-Free-Survival 91,4% (Atezolizumab) vs 89,0% (Placebo); Hazard Ratio 0,90 [95% CI 0,50–1,59]; 3-Jahres-Disease-Free-Survival 92,9% vs 88,5% (HR 0,71 [95% CI 0,38–1,32]). Keine signifikanten Unterschiede. Immuntherapie-assoziierte unerwünschte Ereignisse häufiger (59,4% vs 47,0%).</w:t>
      </w:r>
    </w:p>
    <w:p>
      <w:r>
        <w:rPr>
          <w:b/>
          <w:sz w:val="19"/>
        </w:rPr>
        <w:t xml:space="preserve">Übertragbarkeit: </w:t>
      </w:r>
      <w:r>
        <w:rPr>
          <w:sz w:val="19"/>
        </w:rPr>
        <w:t>Europäische Multicenterstudie, deutsche Beteiligung, direkt anwendbar.</w:t>
      </w:r>
    </w:p>
    <w:p>
      <w:r>
        <w:rPr>
          <w:color w:val="5A7D3A"/>
          <w:sz w:val="18"/>
        </w:rPr>
        <w:t>https://pubmed.ncbi.nlm.nih.gov/42785163/</w:t>
      </w:r>
    </w:p>
    <w:p>
      <w:pPr>
        <w:pStyle w:val="Heading2"/>
      </w:pPr>
      <w:r>
        <w:t>Retlirafusp alfa + Chemotherapie – Gesamtüberleben bei Magen-/GEJ-Karzinom um 6,4 Monate verlängert</w:t>
      </w:r>
    </w:p>
    <w:p>
      <w:r>
        <w:rPr>
          <w:i/>
          <w:color w:val="666666"/>
          <w:sz w:val="18"/>
        </w:rPr>
        <w:t>Peng Z et al.  ·  J Clin Oncol  ·  24.09.2026  ·  PMID 42784781</w:t>
      </w:r>
    </w:p>
    <w:p>
      <w:r>
        <w:t>Phase-III-Studie RELIGHT (731 Patienten): Retlirafusp alfa (Anti-PD-L1/TGF-β-Antikörper) + CAPOX versus Placebo + CAPOX als Firstline-Therapie für HER2-negatives lokal fortgeschrittenes/metastasiertes Magen-/Ösophagus-Karzinom.</w:t>
      </w:r>
    </w:p>
    <w:p>
      <w:r>
        <w:rPr>
          <w:b/>
        </w:rPr>
        <w:t xml:space="preserve">Ergebnis: </w:t>
      </w:r>
      <w:r>
        <w:t>PD-L1-CPS ≥5: Median-OS 16,8 vs 10,4 Monate (HR 0,53 [95% CI 0,40–0,68], p &lt; 0,0001). ITT-Analyse: 15,8 vs 11,2 Monate (HR 0,66 [95% CI 0,53–0,81], p &lt; 0,0001). Median-PFS 7,6 vs 5,5 Monate (HR 0,52). Toxizität vergleichbar (Grade ≥3: 62,6% vs 59,0%).</w:t>
      </w:r>
    </w:p>
    <w:p>
      <w:r>
        <w:rPr>
          <w:b/>
          <w:sz w:val="19"/>
        </w:rPr>
        <w:t xml:space="preserve">Übertragbarkeit: </w:t>
      </w:r>
      <w:r>
        <w:rPr>
          <w:sz w:val="19"/>
        </w:rPr>
        <w:t>China-Studie (Versicherungssystem unterschiedlich); in Deutschland Vergleich zu PD-1-Inhibitor+Chemotherapie erforderlich.</w:t>
      </w:r>
    </w:p>
    <w:p>
      <w:r>
        <w:rPr>
          <w:color w:val="5A7D3A"/>
          <w:sz w:val="18"/>
        </w:rPr>
        <w:t>https://pubmed.ncbi.nlm.nih.gov/42784781/</w:t>
      </w:r>
    </w:p>
    <w:p>
      <w:pPr>
        <w:pStyle w:val="Heading2"/>
      </w:pPr>
      <w:r>
        <w:t>PET/CT reduziert Planungszielvolumina in Ösophaguskarzinom-Strahlentherapie</w:t>
      </w:r>
    </w:p>
    <w:p>
      <w:r>
        <w:rPr>
          <w:i/>
          <w:color w:val="666666"/>
          <w:sz w:val="18"/>
        </w:rPr>
        <w:t>Ashykhmina V et al.  ·  Strahlenther Onkol  ·  24.09.2026  ·  PMID 42782290</w:t>
      </w:r>
    </w:p>
    <w:p>
      <w:r>
        <w:t>Retrospektive Analyse: 20 Patienten mit lokal fortgeschrittenem Ösophaguskarzinom – Vergleich PET/CT-gestützter versus CT-allein-Konturierung für Strahlenplanung.</w:t>
      </w:r>
    </w:p>
    <w:p>
      <w:r>
        <w:rPr>
          <w:b/>
        </w:rPr>
        <w:t xml:space="preserve">Ergebnis: </w:t>
      </w:r>
      <w:r>
        <w:t>PET/CT reduziert Zielvolumen signifikant (mittleres PTV 602,3 ± 267,4 cm³ auf 453,2 ± 237,4 cm³, p &lt; 0,001). Lungen-V20 sank von 10,39 ± 1,23% auf 7,85 ± 1,18% (p = 0,001). Geometrische Unterschiede &gt;100 cm³ in 20% der Fälle. Interobserver-Variabilität beim PET/CT-Targeting niedriger.</w:t>
      </w:r>
    </w:p>
    <w:p>
      <w:r>
        <w:rPr>
          <w:b/>
          <w:sz w:val="19"/>
        </w:rPr>
        <w:t xml:space="preserve">Übertragbarkeit: </w:t>
      </w:r>
      <w:r>
        <w:rPr>
          <w:sz w:val="19"/>
        </w:rPr>
        <w:t>Deutsche Klinik (Magdeburg), prospektive Validierung erforderlich.</w:t>
      </w:r>
    </w:p>
    <w:p>
      <w:r>
        <w:rPr>
          <w:color w:val="5A7D3A"/>
          <w:sz w:val="18"/>
        </w:rPr>
        <w:t>https://pubmed.ncbi.nlm.nih.gov/42782290/</w:t>
      </w:r>
    </w:p>
    <w:p>
      <w:pPr>
        <w:pStyle w:val="Heading2"/>
      </w:pPr>
      <w:r>
        <w:t>Re-Bestrahlung zentraler Lungenkarzinom-Rezidive – 1-Jahres-Überleben 61%</w:t>
      </w:r>
    </w:p>
    <w:p>
      <w:r>
        <w:rPr>
          <w:i/>
          <w:color w:val="666666"/>
          <w:sz w:val="18"/>
        </w:rPr>
        <w:t>Farnik F et al.  ·  Strahlenther Onkol  ·  24.09.2026  ·  PMID 42782288</w:t>
      </w:r>
    </w:p>
    <w:p>
      <w:r>
        <w:t>Monozentrische Analyse: 30 Patienten mit zentral gelegenem Lungenkarzinom-Rezidiv 2014–2024, Typ-2-Re-Bestrahlung mit individualisierter Dosierung.</w:t>
      </w:r>
    </w:p>
    <w:p>
      <w:r>
        <w:rPr>
          <w:b/>
        </w:rPr>
        <w:t xml:space="preserve">Ergebnis: </w:t>
      </w:r>
      <w:r>
        <w:t>1-Jahres-Gesamtüberleben 61%, 1-Jahres-Progression-Free-Survival 19,3%, 1-Jahres-Lokalkontrolle 80,1%. Mediane EQD2 49,5 Gy. Nur ein Fall Grade-3-Spätkomplikation (Ösophagusstenose), gute Verträglichkeit. Alter &gt;65 Jahre einziger unabhängiger Prognosefaktor für besseres PFS.</w:t>
      </w:r>
    </w:p>
    <w:p>
      <w:r>
        <w:rPr>
          <w:b/>
          <w:sz w:val="19"/>
        </w:rPr>
        <w:t xml:space="preserve">Übertragbarkeit: </w:t>
      </w:r>
      <w:r>
        <w:rPr>
          <w:sz w:val="19"/>
        </w:rPr>
        <w:t>Deutsche Monocenterstudie (Erlangen), begrenzte Fallzahl.</w:t>
      </w:r>
    </w:p>
    <w:p>
      <w:r>
        <w:rPr>
          <w:color w:val="5A7D3A"/>
          <w:sz w:val="18"/>
        </w:rPr>
        <w:t>https://pubmed.ncbi.nlm.nih.gov/42782288/</w:t>
      </w:r>
    </w:p>
    <w:p>
      <w:pPr>
        <w:pStyle w:val="Heading1"/>
      </w:pPr>
      <w:r>
        <w:t>Aufgenommen am 24.09.2026</w:t>
      </w:r>
    </w:p>
    <w:p>
      <w:pPr>
        <w:pStyle w:val="Heading2"/>
      </w:pPr>
      <w:r>
        <w:t>BCG plus Immune Checkpoint Inhibitor erhöht systemische Toxizität bei Blasenkrebs deutlich</w:t>
      </w:r>
    </w:p>
    <w:p>
      <w:r>
        <w:rPr>
          <w:i/>
          <w:color w:val="666666"/>
          <w:sz w:val="18"/>
        </w:rPr>
        <w:t>Ciccarese C et al.  ·  ESMO Open  ·  23.09.2026  ·  PMID 42777327</w:t>
      </w:r>
    </w:p>
    <w:p>
      <w:r>
        <w:t>Metaanalyse von drei Phase-III-Studien (1.895 Patienten) zur Sicherheit intravesikaler BCG-Immunchemotherapie gegenüber BCG allein bei nicht-muskelinvasivem Harnblasenkarzinom.</w:t>
      </w:r>
    </w:p>
    <w:p>
      <w:r>
        <w:rPr>
          <w:b/>
        </w:rPr>
        <w:t xml:space="preserve">Ergebnis: </w:t>
      </w:r>
      <w:r>
        <w:t>BCG plus Immune Checkpoint Inhibitor verdoppelte schwere Nebenwirkungen (Grad ≥3: RR 4,02; p&lt;0,00001) und erhöhte therapiebedingte schwere Ereignisse 4,5-fach (RR 4,54; p=0,0001), hauptsächlich durch systemische immunvermittelte Ereignisse (RR 15,18; p&lt;0,0001). Lokale Blasensymptome ähnlich zwischen Gruppen.</w:t>
      </w:r>
    </w:p>
    <w:p>
      <w:r>
        <w:rPr>
          <w:b/>
          <w:sz w:val="19"/>
        </w:rPr>
        <w:t xml:space="preserve">Übertragbarkeit: </w:t>
      </w:r>
      <w:r>
        <w:rPr>
          <w:sz w:val="19"/>
        </w:rPr>
        <w:t>Europa-Studie mit deutschen und österreichischen Zentren, direkt anwendbar</w:t>
      </w:r>
    </w:p>
    <w:p>
      <w:r>
        <w:rPr>
          <w:color w:val="5A7D3A"/>
          <w:sz w:val="18"/>
        </w:rPr>
        <w:t>https://pubmed.ncbi.nlm.nih.gov/42777327/</w:t>
      </w:r>
    </w:p>
    <w:p>
      <w:pPr>
        <w:pStyle w:val="Heading2"/>
      </w:pPr>
      <w:r>
        <w:t>FLOT plus Nivolumab bei Magenkrebs: Monozyten-Lymphozyten-Ratio identifiziert Profiteure</w:t>
      </w:r>
    </w:p>
    <w:p>
      <w:r>
        <w:rPr>
          <w:i/>
          <w:color w:val="666666"/>
          <w:sz w:val="18"/>
        </w:rPr>
        <w:t>Masetti M et al.  ·  Eur J Cancer  ·  10.09.2026  ·  PMID 42777290</w:t>
      </w:r>
    </w:p>
    <w:p>
      <w:r>
        <w:t>Extended Follow-up einer deutschen Multizenterstudie (Arm C: 52 Patienten mit metastasiertem gastroösophagealem Adenokarzinom) zu FLOT-Chemotherapie plus Nivolumab mit Biomarker-Stratifizierung.</w:t>
      </w:r>
    </w:p>
    <w:p>
      <w:r>
        <w:rPr>
          <w:b/>
        </w:rPr>
        <w:t xml:space="preserve">Ergebnis: </w:t>
      </w:r>
      <w:r>
        <w:t>Mediane OS 14,6 Monate; bei CPS≥1 plus niedriger MLR (Monocyten-Lymphozyten-Ratio) OS 32,3 vs. 7,4 Monate (p=0,044). NLR und MLR korrelierten mit Überleben; Schmerz verbesserte sich, Müdigkeit und körperliche Funktionsfähigkeit verschlechterten sich.</w:t>
      </w:r>
    </w:p>
    <w:p>
      <w:r>
        <w:rPr>
          <w:b/>
          <w:sz w:val="19"/>
        </w:rPr>
        <w:t xml:space="preserve">Übertragbarkeit: </w:t>
      </w:r>
      <w:r>
        <w:rPr>
          <w:sz w:val="19"/>
        </w:rPr>
        <w:t>Deutsche Klinikdaten aus 19 Zentren, vollständig übertragbar</w:t>
      </w:r>
    </w:p>
    <w:p>
      <w:r>
        <w:rPr>
          <w:color w:val="5A7D3A"/>
          <w:sz w:val="18"/>
        </w:rPr>
        <w:t>https://pubmed.ncbi.nlm.nih.gov/42777290/</w:t>
      </w:r>
    </w:p>
    <w:p>
      <w:pPr>
        <w:pStyle w:val="Heading2"/>
      </w:pPr>
      <w:r>
        <w:t>ODM-209 zeigt Aktivität bei kastrationsresistentem Prostatakarzinom mit AR-LBD-Mutationen</w:t>
      </w:r>
    </w:p>
    <w:p>
      <w:r>
        <w:rPr>
          <w:i/>
          <w:color w:val="666666"/>
          <w:sz w:val="18"/>
        </w:rPr>
        <w:t>Bernard-Tessier A et al.  ·  Eur J Cancer  ·  12.09.2026  ·  PMID 42777289</w:t>
      </w:r>
    </w:p>
    <w:p>
      <w:r>
        <w:t>Phase-I-Studie (STESIDES, 38 Patienten) zu ODM-209, einem CYP11A1-Inhibitor, der alle Steroidhormon-Synthese blockiert, bei metastasiertem kastrationsresistentem Prostatakarzinom und fortgeschrittenem Brustkrebs.</w:t>
      </w:r>
    </w:p>
    <w:p>
      <w:r>
        <w:rPr>
          <w:b/>
        </w:rPr>
        <w:t xml:space="preserve">Ergebnis: </w:t>
      </w:r>
      <w:r>
        <w:t>PSA-Abfall ≥50 % bei 29 % der mCRPC-Patienten (10/34); bei AR-LBD-Mutationen 47 % (9/19). Partielle klinische Remission bei 19 % (3/16). Häufigste Nebenwirkungen: Müdigkeit (53 %), periphere Ödeme (34 %); 8 % erlebten schwere Nebenwirkungen, 3 Fälle ernsthafte Nebenniereninsuffizienz (eine davon DLT).</w:t>
      </w:r>
    </w:p>
    <w:p>
      <w:r>
        <w:rPr>
          <w:b/>
          <w:sz w:val="19"/>
        </w:rPr>
        <w:t xml:space="preserve">Übertragbarkeit: </w:t>
      </w:r>
      <w:r>
        <w:rPr>
          <w:sz w:val="19"/>
        </w:rPr>
        <w:t>Europäisch-finländische Studie, toxikologisches Profil übertragbar auf Deutschland</w:t>
      </w:r>
    </w:p>
    <w:p>
      <w:r>
        <w:rPr>
          <w:color w:val="5A7D3A"/>
          <w:sz w:val="18"/>
        </w:rPr>
        <w:t>https://pubmed.ncbi.nlm.nih.gov/42777289/</w:t>
      </w:r>
    </w:p>
    <w:p>
      <w:pPr>
        <w:pStyle w:val="Heading2"/>
      </w:pPr>
      <w:r>
        <w:t>Anito-cel CAR-T-Therapie erreicht 100 % Ansprechrate bei therapierefraktärem Myelom</w:t>
      </w:r>
    </w:p>
    <w:p>
      <w:r>
        <w:rPr>
          <w:i/>
          <w:color w:val="666666"/>
          <w:sz w:val="18"/>
        </w:rPr>
        <w:t>Frigault MJ et al.  ·  N Engl J Med  ·  24.09.2026  ·  PMID 42777241</w:t>
      </w:r>
    </w:p>
    <w:p>
      <w:r>
        <w:t>Phase-1-Studie (40 Patienten, 38 erhielten Anito-cel) zu autologer CAR-T-Zelltherapie mit d-Domain-BCMA-Binder bei therapierefraktärem oder rezidiviertem multiplem Myelom nach ≥3 Therapielinien.</w:t>
      </w:r>
    </w:p>
    <w:p>
      <w:r>
        <w:rPr>
          <w:b/>
        </w:rPr>
        <w:t xml:space="preserve">Ergebnis: </w:t>
      </w:r>
      <w:r>
        <w:t>Objektives Ansprechrate 100 % (38/38), komplette Remission 79 % (30/38); mediane PFS 30,2 Monate (24-Monats-PFS 57 %), 36-Monats-OS 65 %. CRS Grad 1–2 bei 94 % (beim empfohlenen Dosis-Level), kein Grad-≥3-CRS. ICANS Grad 1–2 bei 16 %, Grad 3 bei 3 % (1 Patient). Keine Neurotoxizität oder Off-Target-Effekte.</w:t>
      </w:r>
    </w:p>
    <w:p>
      <w:r>
        <w:rPr>
          <w:b/>
          <w:sz w:val="19"/>
        </w:rPr>
        <w:t xml:space="preserve">Übertragbarkeit: </w:t>
      </w:r>
      <w:r>
        <w:rPr>
          <w:sz w:val="19"/>
        </w:rPr>
        <w:t>US-Zulassungsstudie, internationale Relevanz, Verfügbarkeit in Deutschland fraglich</w:t>
      </w:r>
    </w:p>
    <w:p>
      <w:r>
        <w:rPr>
          <w:color w:val="5A7D3A"/>
          <w:sz w:val="18"/>
        </w:rPr>
        <w:t>https://pubmed.ncbi.nlm.nih.gov/42777241/</w:t>
      </w:r>
    </w:p>
    <w:p>
      <w:pPr>
        <w:pStyle w:val="Heading2"/>
      </w:pPr>
      <w:r>
        <w:t>Adjuvantes S-1 verbessert 5-Jahres-Überleben nach Gallenwegskarzinom-Resektion auf 64 %</w:t>
      </w:r>
    </w:p>
    <w:p>
      <w:r>
        <w:rPr>
          <w:i/>
          <w:color w:val="666666"/>
          <w:sz w:val="18"/>
        </w:rPr>
        <w:t>Ikeda M et al.  ·  J Clin Oncol  ·  23.09.2026  ·  PMID 42777180</w:t>
      </w:r>
    </w:p>
    <w:p>
      <w:r>
        <w:t>Japanische Phase-III-Studie (ASCOT, 440 Patienten) zu adjuvantem S-1 nach Resektion von Gallenwegskarzinom mit 5-Jahres-Follow-up (mediane Nachbeobachtung 61,5 Monate).</w:t>
      </w:r>
    </w:p>
    <w:p>
      <w:r>
        <w:rPr>
          <w:b/>
        </w:rPr>
        <w:t xml:space="preserve">Ergebnis: </w:t>
      </w:r>
      <w:r>
        <w:t>5-Jahres-OS 64 % mit S-1 versus 52 % unter Beobachtung (HR 0,72; 95%-KI 0,55–0,95; p=0,01). Mediane OS 8,2 versus 5,9 Jahre. Mediane RFS 3,5 (S-1) versus 6,1 Jahre (Beobachtung). Behandlungseffekt über Subgruppen konsistent.</w:t>
      </w:r>
    </w:p>
    <w:p>
      <w:r>
        <w:rPr>
          <w:b/>
          <w:sz w:val="19"/>
        </w:rPr>
        <w:t xml:space="preserve">Übertragbarkeit: </w:t>
      </w:r>
      <w:r>
        <w:rPr>
          <w:sz w:val="19"/>
        </w:rPr>
        <w:t>Japanisches Gesundheitssystem, internationales Standard-Chemotherapieschema, AMNOG-Nutzen möglich</w:t>
      </w:r>
    </w:p>
    <w:p>
      <w:r>
        <w:rPr>
          <w:color w:val="5A7D3A"/>
          <w:sz w:val="18"/>
        </w:rPr>
        <w:t>https://pubmed.ncbi.nlm.nih.gov/42777180/</w:t>
      </w:r>
    </w:p>
    <w:p>
      <w:pPr>
        <w:pStyle w:val="Heading2"/>
      </w:pPr>
      <w:r>
        <w:t>GeNeo-Studie: Umfassendes Genomic Profiling verdoppelt Therapieempfehlungen</w:t>
      </w:r>
    </w:p>
    <w:p>
      <w:r>
        <w:rPr>
          <w:i/>
          <w:color w:val="666666"/>
          <w:sz w:val="18"/>
        </w:rPr>
        <w:t>Toungouz GR et al.  ·  Eur J Cancer  ·  03.06.2026  ·  PMID 42773586</w:t>
      </w:r>
    </w:p>
    <w:p>
      <w:r>
        <w:t>Belgische Studie an 1.000 metastasierten oder lokal fortgeschrittenen Krebspatienten, Vergleich umfassendes Genomic Profiling (CGP) versus beschränkte lokale NGS-Panels im Rahmen der belgischen Präzisionsmedizin-Initiative.</w:t>
      </w:r>
    </w:p>
    <w:p>
      <w:r>
        <w:rPr>
          <w:b/>
        </w:rPr>
        <w:t xml:space="preserve">Ergebnis: </w:t>
      </w:r>
      <w:r>
        <w:t>CGP erfolgreich bei 93 % der Patienten; 48 % erhielten mindestens eine zusätzliche Therapieempfehlung durch nationales Molekular-Tumorboard basierend auf CGP. 61 % aller Patienten erhielten CGP-basierte Empfehlungen; 23 % davon erhalten die empfohlene Therapie (Blockage: Nichtverfügbarkeit 25 %, klinische Verschlechterung 24 %, Patientenwahl 17 %).</w:t>
      </w:r>
    </w:p>
    <w:p>
      <w:r>
        <w:rPr>
          <w:b/>
          <w:sz w:val="19"/>
        </w:rPr>
        <w:t xml:space="preserve">Übertragbarkeit: </w:t>
      </w:r>
      <w:r>
        <w:rPr>
          <w:sz w:val="19"/>
        </w:rPr>
        <w:t>Belgisches Sozialversicherungssystem, ähnlich deutschem Struktur und Zulassungswegen</w:t>
      </w:r>
    </w:p>
    <w:p>
      <w:r>
        <w:rPr>
          <w:color w:val="5A7D3A"/>
          <w:sz w:val="18"/>
        </w:rPr>
        <w:t>https://pubmed.ncbi.nlm.nih.gov/42773586/</w:t>
      </w:r>
    </w:p>
    <w:p>
      <w:pPr>
        <w:pStyle w:val="Heading1"/>
      </w:pPr>
      <w:r>
        <w:t>Aufgenommen am 23.09.2026</w:t>
      </w:r>
    </w:p>
    <w:p>
      <w:pPr>
        <w:pStyle w:val="Heading2"/>
      </w:pPr>
      <w:r>
        <w:t>Chemotherapie und höheres Alter verschlechtern funktionelle Erholung bei älteren Brustkrebsüberlebenden</w:t>
      </w:r>
    </w:p>
    <w:p>
      <w:r>
        <w:rPr>
          <w:i/>
          <w:color w:val="666666"/>
          <w:sz w:val="18"/>
        </w:rPr>
        <w:t>Cespedes Feliciano EM et al.  ·  J Natl Cancer Inst  ·  23.09.2026  ·  PMID 42772761</w:t>
      </w:r>
    </w:p>
    <w:p>
      <w:r>
        <w:t>Vergleich wiederholter SF-36-Funktionswerte (Lebensqualität) von 6462 Patientinnen mit lokalisiertem und 1872 mit regionalem Brustkrebs vs. 37 196 krebsfreie altersgerechte Kontrollen über 15 Jahre aus der Women's Health Initiative.</w:t>
      </w:r>
    </w:p>
    <w:p>
      <w:r>
        <w:rPr>
          <w:b/>
        </w:rPr>
        <w:t xml:space="preserve">Ergebnis: </w:t>
      </w:r>
      <w:r>
        <w:t>Überlebende zeigten anhaltende funktionelle Defizite: Nach regionalem Krebs −6,8 Punkte (Jahr 1), −5,3 (Jahr 10) gegenüber Kontrollen. Chemotherapie verschärfte frühe Rückgänge (−7,1 Jahr 1). Frauen unter 70 Jahren zeigten bessere Erholung. Bessere Prediagnose-Lebensstiländerungen korrelierten mit größerer funktioneller Reserve und Erholungsfähigkeit.</w:t>
      </w:r>
    </w:p>
    <w:p>
      <w:r>
        <w:rPr>
          <w:b/>
          <w:sz w:val="19"/>
        </w:rPr>
        <w:t xml:space="preserve">Übertragbarkeit: </w:t>
      </w:r>
      <w:r>
        <w:rPr>
          <w:sz w:val="19"/>
        </w:rPr>
        <w:t>US-Daten mit großem Stichprobenumfang; Prinzipien der Unterstützung bei funktioneller Rehabilitation übertragbar.</w:t>
      </w:r>
    </w:p>
    <w:p>
      <w:r>
        <w:rPr>
          <w:color w:val="5A7D3A"/>
          <w:sz w:val="18"/>
        </w:rPr>
        <w:t>https://pubmed.ncbi.nlm.nih.gov/42772761/</w:t>
      </w:r>
    </w:p>
    <w:p>
      <w:pPr>
        <w:pStyle w:val="Heading2"/>
      </w:pPr>
      <w:r>
        <w:t>Molekulare Profiling-Lücke bei Medicaid-Patientinnen mit HR+/HER2−-Brustkrebs – weniger als 40 % erhalten Test</w:t>
      </w:r>
    </w:p>
    <w:p>
      <w:r>
        <w:rPr>
          <w:i/>
          <w:color w:val="666666"/>
          <w:sz w:val="18"/>
        </w:rPr>
        <w:t>Lal T et al.  ·  JCO Oncol Pract  ·  22.09.2026  ·  PMID 42771843</w:t>
      </w:r>
    </w:p>
    <w:p>
      <w:r>
        <w:t>Retrospektive Kohortenstudie mit verlinkten Krebs- und Medicaid-Claims-Daten aus Ohio: 1988 Patientinnen im Alter von 18–65 Jahren mit lokal fortgeschrittenem oder regionalem ER+/HER2−-Brustkrebs 2016–2020; Primärbefund: Erhalt von Oncotype DX oder MammaPrint innerhalb von 6 Monaten.</w:t>
      </w:r>
    </w:p>
    <w:p>
      <w:r>
        <w:rPr>
          <w:b/>
        </w:rPr>
        <w:t xml:space="preserve">Ergebnis: </w:t>
      </w:r>
      <w:r>
        <w:t>37,8 % (752 von 1988 Patientinnen) erhielten molekulares Profiling. Geringere Chancen bei regionalem gegenüber lokalisiertem Stadium (aOR 0,35, p&lt;0,001), Schwarze Frauen vs. Weiße (aOR 0,72), Einkommen über Armutsgrenze (aOR 0,73) und Medicaid-Langzeitpflege-Einschreiber (aOR 0,47). Verheiratet mit höherem Profiling (aOR 1,30).</w:t>
      </w:r>
    </w:p>
    <w:p>
      <w:r>
        <w:rPr>
          <w:b/>
          <w:sz w:val="19"/>
        </w:rPr>
        <w:t xml:space="preserve">Übertragbarkeit: </w:t>
      </w:r>
      <w:r>
        <w:rPr>
          <w:sz w:val="19"/>
        </w:rPr>
        <w:t>USA-Medicaid-Daten; Versorgungsungleichheiten ähnlich auch in Deutschland bei gesetzlicher Versicherung – Implementierungslücke bei Risikogruppen.</w:t>
      </w:r>
    </w:p>
    <w:p>
      <w:r>
        <w:rPr>
          <w:color w:val="5A7D3A"/>
          <w:sz w:val="18"/>
        </w:rPr>
        <w:t>https://pubmed.ncbi.nlm.nih.gov/42771843/</w:t>
      </w:r>
    </w:p>
    <w:p>
      <w:pPr>
        <w:pStyle w:val="Heading2"/>
      </w:pPr>
      <w:r>
        <w:t>Enfortumab Vedotin + Pembrolizumab beim Urothelkarzinom – praktisches Toxizitäts-Attributionsrahmenwerk zwischen ADC und Checkpoint-Inhibitor</w:t>
      </w:r>
    </w:p>
    <w:p>
      <w:r>
        <w:rPr>
          <w:i/>
          <w:color w:val="666666"/>
          <w:sz w:val="18"/>
        </w:rPr>
        <w:t>Zarka J et al.  ·  Oncologist  ·  21.09.2026  ·  PMID 42768457</w:t>
      </w:r>
    </w:p>
    <w:p>
      <w:r>
        <w:t>Mechanismus-informierte systematische Übersicht über Toxizitätsmuster bei Enfortumab Vedotin (EV), Pembrolizumab (P) und EV/P in fortgeschrittenem Urothelkarzinom anhand von Zulassungsstudien, Langzeitdaten und Real-World-Kohorten.</w:t>
      </w:r>
    </w:p>
    <w:p>
      <w:r>
        <w:rPr>
          <w:b/>
        </w:rPr>
        <w:t xml:space="preserve">Ergebnis: </w:t>
      </w:r>
      <w:r>
        <w:t>EV-Monotherapie: kutane Toxizität, periphere Neuropathie, Hyperglykämie, Dysgeuzie, okulare Ereignisse (frühe metabolische Events, kumulative Neuropathie). Pembrolizumab: niedrigere Hochgrad-Toxizität, aber Immune-Checkpoint-induzierte Endokrinopathien, Pneumonitis, Hepatitis, Kolitis, Nephritis. Kombination EV/P: vorhersehbare Überlappung dieser Toxizitätsdomänen; praktisches Attributionsrahmenwerk (EV-dominant, Immune-dominant, Überlappung, hohes Risiko mit Therapieunterbrechung).</w:t>
      </w:r>
    </w:p>
    <w:p>
      <w:r>
        <w:rPr>
          <w:b/>
          <w:sz w:val="19"/>
        </w:rPr>
        <w:t xml:space="preserve">Übertragbarkeit: </w:t>
      </w:r>
      <w:r>
        <w:rPr>
          <w:sz w:val="19"/>
        </w:rPr>
        <w:t>Mayo-Klinik-Kohorte; Toxizitäts-Management-Schemata und Attributionsrahmen für europäische/deutsche Urothelkarzinom-Praxen anwendbar.</w:t>
      </w:r>
    </w:p>
    <w:p>
      <w:r>
        <w:rPr>
          <w:color w:val="5A7D3A"/>
          <w:sz w:val="18"/>
        </w:rPr>
        <w:t>https://pubmed.ncbi.nlm.nih.gov/42768457/</w:t>
      </w:r>
    </w:p>
    <w:p>
      <w:pPr>
        <w:pStyle w:val="Heading2"/>
      </w:pPr>
      <w:r>
        <w:t>γδ-T-Zellen fördern Anti-Tumor-Immunität beim kleinzelligen Lungenkrebs – klinische Basis für BiTE-Therapie</w:t>
      </w:r>
    </w:p>
    <w:p>
      <w:r>
        <w:rPr>
          <w:i/>
          <w:color w:val="666666"/>
          <w:sz w:val="18"/>
        </w:rPr>
        <w:t>Ng J et al.  ·  Cancer Cell  ·  18.09.2026  ·  PMID 42759517</w:t>
      </w:r>
    </w:p>
    <w:p>
      <w:r>
        <w:t>Single-Cell-Transkriptomik in SCLC-Biopsien, kombiniert mit Analyse von zwei praxisverändernden klinischen Studien und Vormodellen, zur Rolle von γδ-T-Zellen bei Anti-PD-L1-Ansprechen und BiTE-Umleitung (Tarlatamab).</w:t>
      </w:r>
    </w:p>
    <w:p>
      <w:r>
        <w:rPr>
          <w:b/>
        </w:rPr>
        <w:t xml:space="preserve">Ergebnis: </w:t>
      </w:r>
      <w:r>
        <w:t>γδ-T-Zell-Infiltration in SCLC-Biospecimens nachgewiesen. Trotz PD-1-Expression behielten γδ-T-Zellen zytotoxisches Transkriptionsprofil. Hohe γδ-T-Zell-Infiltration sagte verbessertes Ansprechen auf Anti-PD-L1 in zwei Studien voraus. Vormodelle zeigten γδ-T-Zellen wirksam bei Tarlatamab-umgeleiteter SCLC-Abtötung; Zoledronsäure sensibilisierte SCLC-Zellen für γδ-T-Zell-vermittelte Tötung.</w:t>
      </w:r>
    </w:p>
    <w:p>
      <w:r>
        <w:rPr>
          <w:b/>
          <w:sz w:val="19"/>
        </w:rPr>
        <w:t xml:space="preserve">Übertragbarkeit: </w:t>
      </w:r>
      <w:r>
        <w:rPr>
          <w:sz w:val="19"/>
        </w:rPr>
        <w:t>Australisch-deutsche Kohorte; Grundlagenbefund mit erkennbarem Weg zu klinischen BiTE- und Kombinationsansätzen.</w:t>
      </w:r>
    </w:p>
    <w:p>
      <w:r>
        <w:rPr>
          <w:color w:val="5A7D3A"/>
          <w:sz w:val="18"/>
        </w:rPr>
        <w:t>https://pubmed.ncbi.nlm.nih.gov/42759517/</w:t>
      </w:r>
    </w:p>
    <w:p>
      <w:pPr>
        <w:pStyle w:val="Heading2"/>
      </w:pPr>
      <w:r>
        <w:t>Adjuvante Therapie der HR+/HER2−-Brustkrebse bei prämenopausalen Frauen: Klinischer Rahmen zu Endokrinologie, CDK4/6-Inhibitoren und Ovarialsuppression</w:t>
      </w:r>
    </w:p>
    <w:p>
      <w:r>
        <w:rPr>
          <w:i/>
          <w:color w:val="666666"/>
          <w:sz w:val="18"/>
        </w:rPr>
        <w:t>Licata L et al.  ·  Ann Oncol  ·  17.09.2026  ·  PMID 42754095</w:t>
      </w:r>
    </w:p>
    <w:p>
      <w:r>
        <w:t>Systematische Zusammenfassung und klinischer Orientierungsrahmen zu Unsicherheiten in der adjuvanten Therapie von prämenopausalen Frauen mit hormonrezeptorpositivem, HER2-negativem frühem Brustkrebs über Endokrinotherapie, CDK4/6-Inhibitoren, Ovarialsuppression und Toxizitätsmanagement.</w:t>
      </w:r>
    </w:p>
    <w:p>
      <w:r>
        <w:rPr>
          <w:b/>
        </w:rPr>
        <w:t xml:space="preserve">Ergebnis: </w:t>
      </w:r>
      <w:r>
        <w:t>Endokrinie mit CDK4/6-Inhibitoren in ausgewählten höheren Risiken bleibt Grundpfeiler. Offene Fragen: optimale Ovarialsuppression, Interpretation genomischer Assays für Chemotherapieentscheidungen, Auswahl für verlängerte Endokrinotherapie, Adhärenz und Schwangerschaftsprobleme. Der Rahmen soll individualisierte Strategien für diese Population unterstützen.</w:t>
      </w:r>
    </w:p>
    <w:p>
      <w:r>
        <w:rPr>
          <w:b/>
          <w:sz w:val="19"/>
        </w:rPr>
        <w:t xml:space="preserve">Übertragbarkeit: </w:t>
      </w:r>
      <w:r>
        <w:rPr>
          <w:sz w:val="19"/>
        </w:rPr>
        <w:t>Italienische und internationale Expertise; Strukturen übertragbar auf deutsches Zentrenmanagement.</w:t>
      </w:r>
    </w:p>
    <w:p>
      <w:r>
        <w:rPr>
          <w:color w:val="5A7D3A"/>
          <w:sz w:val="18"/>
        </w:rPr>
        <w:t>https://pubmed.ncbi.nlm.nih.gov/42754095/</w:t>
      </w:r>
    </w:p>
    <w:p>
      <w:pPr>
        <w:pStyle w:val="Heading2"/>
      </w:pPr>
      <w:r>
        <w:t>Arzneimittelinteraktionen beim Prostatakarzinom – digitale Tools häufig genutzt, Pharmakolog-Zugang unterentwickelt</w:t>
      </w:r>
    </w:p>
    <w:p>
      <w:r>
        <w:rPr>
          <w:i/>
          <w:color w:val="666666"/>
          <w:sz w:val="18"/>
        </w:rPr>
        <w:t>Valsecchi AA et al.  ·  Oncologist  ·  09.09.2026  ·  PMID 42747311</w:t>
      </w:r>
    </w:p>
    <w:p>
      <w:r>
        <w:t>Internationale Online-Umfrage bei 69 italienischen und 1064 weltweiten Gesundheitsberuflern zu Praktiken beim Management von Arzneimittelwechselwirkungen (DDI) beim Prostatakarzinom.</w:t>
      </w:r>
    </w:p>
    <w:p>
      <w:r>
        <w:rPr>
          <w:b/>
        </w:rPr>
        <w:t xml:space="preserve">Ergebnis: </w:t>
      </w:r>
      <w:r>
        <w:t>DDI wurden als klinisch relevant anerkannt. Digitale Werkzeuge (Online-Datenbanken, Apps) am häufigsten; KI-Tools selten. Italienische Onkologen berichteten begrenzte Vor-Ort-Pharmacolog-Unterstützung (29 %), weltweit 76 %. Hauptbarrieren: Zeitdruck, unsichere Quellenzuverlässigkeit, Mangel an Schulung. Italienische Ärzte forderten mehr Pharmacolog-Zugang; globale Kohorten: institutionelle Schulung.</w:t>
      </w:r>
    </w:p>
    <w:p>
      <w:r>
        <w:rPr>
          <w:b/>
          <w:sz w:val="19"/>
        </w:rPr>
        <w:t xml:space="preserve">Übertragbarkeit: </w:t>
      </w:r>
      <w:r>
        <w:rPr>
          <w:sz w:val="19"/>
        </w:rPr>
        <w:t>Deutsche Universitätskliniken haben oft Pharmakolog-Support; zentrale Erkenntnisse zur DDI-Managementlücke und Schulungsbedarf übertragbar.</w:t>
      </w:r>
    </w:p>
    <w:p>
      <w:r>
        <w:rPr>
          <w:color w:val="5A7D3A"/>
          <w:sz w:val="18"/>
        </w:rPr>
        <w:t>https://pubmed.ncbi.nlm.nih.gov/42747311/</w:t>
      </w:r>
    </w:p>
    <w:p>
      <w:pPr>
        <w:pStyle w:val="Heading2"/>
      </w:pPr>
      <w:r>
        <w:t>Nilotinib wirksam bei GIST-Patienten mit schwerer Imatinib-Toxizität – Therapiealternative ohne Kreuzreaktionen</w:t>
      </w:r>
    </w:p>
    <w:p>
      <w:r>
        <w:rPr>
          <w:i/>
          <w:color w:val="666666"/>
          <w:sz w:val="18"/>
        </w:rPr>
        <w:t>Falkenhorst J et al.  ·  Oncologist  ·  09.09.2026  ·  PMID 42691224</w:t>
      </w:r>
    </w:p>
    <w:p>
      <w:r>
        <w:t>Retrospektive Analyse von 20 GIST-Patienten mit schwerer Imatinib-Toxizität, die auf Nilotinib umgestellt wurden, inkl. In-vitro-Testung an Zelllinien mit KIT-Mutationen.</w:t>
      </w:r>
    </w:p>
    <w:p>
      <w:r>
        <w:rPr>
          <w:b/>
        </w:rPr>
        <w:t xml:space="preserve">Ergebnis: </w:t>
      </w:r>
      <w:r>
        <w:t>7,3 % der 1263 GIST-Patienten beendeten Imatinib wegen Toxizität. In 20 Patienten mit Nilotinib-Therapie zeigten sich keine Kreuzreaktivitäten mit Imatinib: Bei KIT-Exon-11-Mutationen wirksam, bei Exon-9- oder imatinib-resistenten Mutationen nicht. Nilotinib ist damit eine wichtige Alternative für imatinib-sensitive GIST.</w:t>
      </w:r>
    </w:p>
    <w:p>
      <w:r>
        <w:rPr>
          <w:b/>
          <w:sz w:val="19"/>
        </w:rPr>
        <w:t xml:space="preserve">Übertragbarkeit: </w:t>
      </w:r>
      <w:r>
        <w:rPr>
          <w:sz w:val="19"/>
        </w:rPr>
        <w:t>Deutsche GIST-Zentren können diese Therapieoption bei Imatinib-Unverträglichkeit einsetzen.</w:t>
      </w:r>
    </w:p>
    <w:p>
      <w:r>
        <w:rPr>
          <w:color w:val="5A7D3A"/>
          <w:sz w:val="18"/>
        </w:rPr>
        <w:t>https://pubmed.ncbi.nlm.nih.gov/42691224/</w:t>
      </w:r>
    </w:p>
    <w:p>
      <w:pPr>
        <w:pStyle w:val="Heading1"/>
      </w:pPr>
      <w:r>
        <w:t>Aufgenommen am 22.09.2026</w:t>
      </w:r>
    </w:p>
    <w:p>
      <w:pPr>
        <w:pStyle w:val="Heading2"/>
      </w:pPr>
      <w:r>
        <w:t>Symptom-Belastung während Behandlung: Starkes Prognosesignal für Überleben</w:t>
      </w:r>
    </w:p>
    <w:p>
      <w:r>
        <w:rPr>
          <w:i/>
          <w:color w:val="666666"/>
          <w:sz w:val="18"/>
        </w:rPr>
        <w:t>Hofsø K et al.  ·  ESMO Open  ·  21.09.2026  ·  PMID 42767083</w:t>
      </w:r>
    </w:p>
    <w:p>
      <w:r>
        <w:t>534 Patienten während Krebsbehandlung wurden nach Symptomen klassifiziert; die Assoziation zwischen Symptombelastung und langfristigem Überleben wurde 12–15 Jahre später gemessen.</w:t>
      </w:r>
    </w:p>
    <w:p>
      <w:r>
        <w:rPr>
          <w:b/>
        </w:rPr>
        <w:t xml:space="preserve">Ergebnis: </w:t>
      </w:r>
      <w:r>
        <w:t>Patienten mit durchgehend hoher Symptombelastung zeigten eine höhere Mortalität (HR 1,48; 95% KI 1,14–1,94) als andere Symptomgruppen. Symptomklassen könnten zur Risikoschichtung herangezogen werden.</w:t>
      </w:r>
    </w:p>
    <w:p>
      <w:r>
        <w:rPr>
          <w:b/>
          <w:sz w:val="19"/>
        </w:rPr>
        <w:t xml:space="preserve">Übertragbarkeit: </w:t>
      </w:r>
      <w:r>
        <w:rPr>
          <w:sz w:val="19"/>
        </w:rPr>
        <w:t>Norwegen, Versicherungssystem und Onkologieversorgung vergleichbar mit Deutschland.</w:t>
      </w:r>
    </w:p>
    <w:p>
      <w:r>
        <w:rPr>
          <w:color w:val="5A7D3A"/>
          <w:sz w:val="18"/>
        </w:rPr>
        <w:t>https://pubmed.ncbi.nlm.nih.gov/42767083/</w:t>
      </w:r>
    </w:p>
    <w:p>
      <w:pPr>
        <w:pStyle w:val="Heading2"/>
      </w:pPr>
      <w:r>
        <w:t>Dosisreduktion bei Ewing-Sarkom: Verzicht auf Therapie verschärft Prognose nicht</w:t>
      </w:r>
    </w:p>
    <w:p>
      <w:r>
        <w:rPr>
          <w:i/>
          <w:color w:val="666666"/>
          <w:sz w:val="18"/>
        </w:rPr>
        <w:t>Liu Y et al.  ·  Eur J Cancer  ·  16.09.2026  ·  PMID 42766959</w:t>
      </w:r>
    </w:p>
    <w:p>
      <w:r>
        <w:t>Euro Ewing 2012-Daten von 534 Patienten wurden analysiert, um die Auswirkung von Chemotherapie-Dosisanpassungen auf ereignisfreies Überleben zu quantifizieren.</w:t>
      </w:r>
    </w:p>
    <w:p>
      <w:r>
        <w:rPr>
          <w:b/>
        </w:rPr>
        <w:t xml:space="preserve">Ergebnis: </w:t>
      </w:r>
      <w:r>
        <w:t>Dosisreduktion war protektiv (HR 0,69; KI 0,39–1,24), Therapieverzögerung neutral (HR 1,02; KI 0,90–1,15); beide nicht signifikant. Toxizitätsmanagement durch Dosisanpassung beeinträchtigt Prognose nicht wesentlich.</w:t>
      </w:r>
    </w:p>
    <w:p>
      <w:r>
        <w:rPr>
          <w:b/>
          <w:sz w:val="19"/>
        </w:rPr>
        <w:t xml:space="preserve">Übertragbarkeit: </w:t>
      </w:r>
      <w:r>
        <w:rPr>
          <w:sz w:val="19"/>
        </w:rPr>
        <w:t>Europäische Studie, multinationale Kohorte, Ergebnisse übertragbar auf deutsches Versorgungssystem.</w:t>
      </w:r>
    </w:p>
    <w:p>
      <w:r>
        <w:rPr>
          <w:color w:val="5A7D3A"/>
          <w:sz w:val="18"/>
        </w:rPr>
        <w:t>https://pubmed.ncbi.nlm.nih.gov/42766959/</w:t>
      </w:r>
    </w:p>
    <w:p>
      <w:pPr>
        <w:pStyle w:val="Heading2"/>
      </w:pPr>
      <w:r>
        <w:t>Operationsrand bei Brustkrebs in situ: Unter 2 mm nicht automatisch ungünstiger</w:t>
      </w:r>
    </w:p>
    <w:p>
      <w:r>
        <w:rPr>
          <w:i/>
          <w:color w:val="666666"/>
          <w:sz w:val="18"/>
        </w:rPr>
        <w:t>Nash AL et al.  ·  J Clin Oncol  ·  21.09.2026  ·  PMID 42766806</w:t>
      </w:r>
    </w:p>
    <w:p>
      <w:r>
        <w:t>11.156 Frauen mit DCIS wurden nach Operationsrandbreite klassifiziert und lokales Rezidivrisiko gemessen; multivariables Cox-Modell nach klinischen Faktoren adjustiert.</w:t>
      </w:r>
    </w:p>
    <w:p>
      <w:r>
        <w:rPr>
          <w:b/>
        </w:rPr>
        <w:t xml:space="preserve">Ergebnis: </w:t>
      </w:r>
      <w:r>
        <w:t>Bei negativem Rand zeigt sich kein signifikanter Unterschied zwischen &lt;2 mm und ≥2 mm Randbreite in Rezidivrate. Nur in der Subgruppe &lt;50 Jahre war schmaler Rand ungünstiger. ORR Brusterhalt, Strahlentherapie, Alter, Hormonrezeptor und Tumor-Grade berücksichtigt.</w:t>
      </w:r>
    </w:p>
    <w:p>
      <w:r>
        <w:rPr>
          <w:b/>
          <w:sz w:val="19"/>
        </w:rPr>
        <w:t xml:space="preserve">Übertragbarkeit: </w:t>
      </w:r>
      <w:r>
        <w:rPr>
          <w:sz w:val="19"/>
        </w:rPr>
        <w:t>USA, Nationale Krebsdatenbank, vergleichbare Dokumentationsstandards zu deutschem Krebsregister.</w:t>
      </w:r>
    </w:p>
    <w:p>
      <w:r>
        <w:rPr>
          <w:color w:val="5A7D3A"/>
          <w:sz w:val="18"/>
        </w:rPr>
        <w:t>https://pubmed.ncbi.nlm.nih.gov/42766806/</w:t>
      </w:r>
    </w:p>
    <w:p>
      <w:pPr>
        <w:pStyle w:val="Heading2"/>
      </w:pPr>
      <w:r>
        <w:t>Krebsimpfstoffe: Überblick über Wirkmechanismen und klinische Erfolge</w:t>
      </w:r>
    </w:p>
    <w:p>
      <w:r>
        <w:rPr>
          <w:i/>
          <w:color w:val="666666"/>
          <w:sz w:val="18"/>
        </w:rPr>
        <w:t>Disis ML et al.  ·  JAMA  ·  21.09.2026  ·  PMID 42766303</w:t>
      </w:r>
    </w:p>
    <w:p>
      <w:r>
        <w:t>Systematische Übersicht der Translational-Science-Literatur zu Krebsvakzinen, deren Komponenten, Wirkungsweisen und bisherigen Zulassungserfolgen.</w:t>
      </w:r>
    </w:p>
    <w:p>
      <w:r>
        <w:rPr>
          <w:b/>
        </w:rPr>
        <w:t xml:space="preserve">Ergebnis: </w:t>
      </w:r>
      <w:r>
        <w:t>Sipuleucel-T reduzierte Mortalität um 22% vs. Placebo (HR 0,78; p=0,03). Talimogene laherparepvec erhöhte 6-Monats-Remissionsrate auf 16,3% vs. 2,1% (p&lt;0,001). mRNA-4157+Pembrolizumab verbesserte rezidivfreies Überleben bei Melanom (76,6% vs. 60%; HR 0,56; p=0,05). Nebenwirkungen überwiegend mild.</w:t>
      </w:r>
    </w:p>
    <w:p>
      <w:r>
        <w:rPr>
          <w:b/>
          <w:sz w:val="19"/>
        </w:rPr>
        <w:t xml:space="preserve">Übertragbarkeit: </w:t>
      </w:r>
      <w:r>
        <w:rPr>
          <w:sz w:val="19"/>
        </w:rPr>
        <w:t>USA-Literaturübersicht, Mechanismen und Sicherheitsprofil universell, Verfügbarkeit in Deutschland an Zulassung/Nutzenbewertung gekoppelt.</w:t>
      </w:r>
    </w:p>
    <w:p>
      <w:r>
        <w:rPr>
          <w:color w:val="5A7D3A"/>
          <w:sz w:val="18"/>
        </w:rPr>
        <w:t>https://pubmed.ncbi.nlm.nih.gov/42766303/</w:t>
      </w:r>
    </w:p>
    <w:p>
      <w:pPr>
        <w:pStyle w:val="Heading2"/>
      </w:pPr>
      <w:r>
        <w:t>Ceralasertib plus Olaparib bei HER2-negativem Triple-negativem Brustkrebs: ORR-Gewinn ohne PFS-Vorteil</w:t>
      </w:r>
    </w:p>
    <w:p>
      <w:r>
        <w:rPr>
          <w:i/>
          <w:color w:val="666666"/>
          <w:sz w:val="18"/>
        </w:rPr>
        <w:t>Tutt A et al.  ·  Clin Cancer Res  ·  21.09.2026  ·  PMID 42765908</w:t>
      </w:r>
    </w:p>
    <w:p>
      <w:r>
        <w:t>273 Patientinnen mit PARP-inhibitor-naiven, vorbehandelten triple-negativen Mammakarzinomen wurden in drei molekulare Schichten randomisiert: Olaparib allein gegen Kombinationen mit ATR- oder WEE1-Inhibitor.</w:t>
      </w:r>
    </w:p>
    <w:p>
      <w:r>
        <w:rPr>
          <w:b/>
        </w:rPr>
        <w:t xml:space="preserve">Ergebnis: </w:t>
      </w:r>
      <w:r>
        <w:t>Bei nicht-HRR-mutierten Tumoren: Ceralasertib+Olaparib erhöhte ORR auf 15,4% vs. 3,9% (p=0,0425); PFS-Mediane aber 3,6 vs. 3,6 Monate (nicht signifikant). Adavosertib+Olaparib wurde wegen Toxizität abgebrochen.</w:t>
      </w:r>
    </w:p>
    <w:p>
      <w:r>
        <w:rPr>
          <w:b/>
          <w:sz w:val="19"/>
        </w:rPr>
        <w:t xml:space="preserve">Übertragbarkeit: </w:t>
      </w:r>
      <w:r>
        <w:rPr>
          <w:sz w:val="19"/>
        </w:rPr>
        <w:t>Internationale Studie, einschl. Deutschland/Belgien, vergleichbare onkologische Versorgung, Ergebnis beschränkt: ORR-Gewinn ohne Überleben-Nutzen fraglich.</w:t>
      </w:r>
    </w:p>
    <w:p>
      <w:r>
        <w:rPr>
          <w:color w:val="5A7D3A"/>
          <w:sz w:val="18"/>
        </w:rPr>
        <w:t>https://pubmed.ncbi.nlm.nih.gov/42765908/</w:t>
      </w:r>
    </w:p>
    <w:p>
      <w:pPr>
        <w:pStyle w:val="Heading2"/>
      </w:pPr>
      <w:r>
        <w:t>Wirbelkörperfrakturen und Myelom-Risiko: Prospektive Kohortenstudie mit Incidental-Befunden</w:t>
      </w:r>
    </w:p>
    <w:p>
      <w:r>
        <w:rPr>
          <w:i/>
          <w:color w:val="666666"/>
          <w:sz w:val="18"/>
        </w:rPr>
        <w:t>Rønnemoes R et al.  ·  Leukemia  ·  18.09.2026  ·  PMID 42760387</w:t>
      </w:r>
    </w:p>
    <w:p>
      <w:r>
        <w:t>9.059 Personen aus bevölkerungsrepräsentativer dänischer Stichprobe erhielten CT-Scans; zufällig entdeckte Wirbelkörperfrakturen wurden als Myelom-Risikofaktor untersucht.</w:t>
      </w:r>
    </w:p>
    <w:p>
      <w:r>
        <w:rPr>
          <w:b/>
        </w:rPr>
        <w:t xml:space="preserve">Ergebnis: </w:t>
      </w:r>
      <w:r>
        <w:t>Inzidentelle Wirbelkörperfrakturen zeigten Assoziation mit erhöhtem Myelom-Risiko; Ergebnisse liegen noch in Publikation vor, konkrete Hazard-Ratio nicht im vorliegenden Abstract genannt.</w:t>
      </w:r>
    </w:p>
    <w:p>
      <w:r>
        <w:rPr>
          <w:b/>
          <w:sz w:val="19"/>
        </w:rPr>
        <w:t xml:space="preserve">Übertragbarkeit: </w:t>
      </w:r>
      <w:r>
        <w:rPr>
          <w:sz w:val="19"/>
        </w:rPr>
        <w:t>Dänemark, nationale Bevölkerungsstudie, Diagnostik durch Standardbildgebung deutschem Standard entsprechend.</w:t>
      </w:r>
    </w:p>
    <w:p>
      <w:r>
        <w:rPr>
          <w:color w:val="5A7D3A"/>
          <w:sz w:val="18"/>
        </w:rPr>
        <w:t>https://pubmed.ncbi.nlm.nih.gov/42760387/</w:t>
      </w:r>
    </w:p>
    <w:p>
      <w:pPr>
        <w:pStyle w:val="Heading1"/>
      </w:pPr>
      <w:r>
        <w:t>Aufgenommen am 21.09.2026</w:t>
      </w:r>
    </w:p>
    <w:p>
      <w:pPr>
        <w:pStyle w:val="Heading2"/>
      </w:pPr>
      <w:r>
        <w:t>SABR bei oligometastatischem Brustkrebs: Lokale Kontrolle 92,5% in 1 Jahr</w:t>
      </w:r>
    </w:p>
    <w:p>
      <w:r>
        <w:rPr>
          <w:i/>
          <w:color w:val="666666"/>
          <w:sz w:val="18"/>
        </w:rPr>
        <w:t>Viani GA et al.  ·  Radiother Oncol  ·  20.09.2026  ·  PMID 42764105</w:t>
      </w:r>
    </w:p>
    <w:p>
      <w:r>
        <w:t>Metaanalyse von 25 Studien (1.577 Patienten) zu stereotaktischer ablativer Radiotherapie bei oligometastatischem Brustkrebs.</w:t>
      </w:r>
    </w:p>
    <w:p>
      <w:r>
        <w:rPr>
          <w:b/>
        </w:rPr>
        <w:t xml:space="preserve">Ergebnis: </w:t>
      </w:r>
      <w:r>
        <w:t>Lokale Kontrolle nach 1 Jahr: 92,5 % (95% KI 90,4–94,2), nach 2 Jahren 84,6 % (81,1–87,6). De-novo-Oligometastasen zeigten bessere Ergebnisse als Oligoprogression (OS nach 2 Jahren 91,0 vs. 65,8 %; p=0,002). Grad ≥3-Nebenwirkungen in nur 1,5 % der Patienten.</w:t>
      </w:r>
    </w:p>
    <w:p>
      <w:r>
        <w:rPr>
          <w:b/>
          <w:sz w:val="19"/>
        </w:rPr>
        <w:t xml:space="preserve">Übertragbarkeit: </w:t>
      </w:r>
      <w:r>
        <w:rPr>
          <w:sz w:val="19"/>
        </w:rPr>
        <w:t>Europäische und internationale Studien, vergleichbare Versorgungsstandards</w:t>
      </w:r>
    </w:p>
    <w:p>
      <w:r>
        <w:rPr>
          <w:color w:val="5A7D3A"/>
          <w:sz w:val="18"/>
        </w:rPr>
        <w:t>https://pubmed.ncbi.nlm.nih.gov/42764105/</w:t>
      </w:r>
    </w:p>
    <w:p>
      <w:pPr>
        <w:pStyle w:val="Heading2"/>
      </w:pPr>
      <w:r>
        <w:t>Screening für Schmerz und Depression verbessert sich, aber nicht die Symptomlinderung</w:t>
      </w:r>
    </w:p>
    <w:p>
      <w:r>
        <w:rPr>
          <w:i/>
          <w:color w:val="666666"/>
          <w:sz w:val="18"/>
        </w:rPr>
        <w:t>Huang TQ et al.  ·  JCO Oncol Pract  ·  17.09.2026  ·  PMID 42753214</w:t>
      </w:r>
    </w:p>
    <w:p>
      <w:r>
        <w:t>Analyse von Patienten-Erfahrungsdaten aus dem Oncology Care Model (USA) 2017–2022: Trend von praxis-dokumentierten Screening-Raten vs. Patient-reported Outcomes.</w:t>
      </w:r>
    </w:p>
    <w:p>
      <w:r>
        <w:rPr>
          <w:b/>
        </w:rPr>
        <w:t xml:space="preserve">Ergebnis: </w:t>
      </w:r>
      <w:r>
        <w:t>Praxis-berichtete Schmerz-Screening/-Management-Raten stiegen von 76,5 % auf 92,6 % (2017–2022); Depression von 56,6 % auf 81,7 %. Aber patient-berichtete Schmerzen nahmen leicht ab (–0,2 Prozentpunkte/Quartal; p=0,002), Hilfe bei Symptomen stieg nicht (p&gt;0,20).</w:t>
      </w:r>
    </w:p>
    <w:p>
      <w:r>
        <w:rPr>
          <w:b/>
          <w:sz w:val="19"/>
        </w:rPr>
        <w:t xml:space="preserve">Übertragbarkeit: </w:t>
      </w:r>
      <w:r>
        <w:rPr>
          <w:sz w:val="19"/>
        </w:rPr>
        <w:t>USA, Qualitätsmessung im Versicherungssystem unterscheidet sich von Deutschland</w:t>
      </w:r>
    </w:p>
    <w:p>
      <w:r>
        <w:rPr>
          <w:color w:val="5A7D3A"/>
          <w:sz w:val="18"/>
        </w:rPr>
        <w:t>https://pubmed.ncbi.nlm.nih.gov/42753214/</w:t>
      </w:r>
    </w:p>
    <w:p>
      <w:pPr>
        <w:pStyle w:val="Heading2"/>
      </w:pPr>
      <w:r>
        <w:t>MET-Biomarker-Schwellenwerte bei Osimertinib-resistentem EGFR-mutiertem Lungenkarzinom</w:t>
      </w:r>
    </w:p>
    <w:p>
      <w:r>
        <w:rPr>
          <w:i/>
          <w:color w:val="666666"/>
          <w:sz w:val="18"/>
        </w:rPr>
        <w:t>Ahn MJ et al.  ·  Clin Cancer Res  ·  17.09.2026  ·  PMID 42752799</w:t>
      </w:r>
    </w:p>
    <w:p>
      <w:r>
        <w:t>Retrospektive Analyse aus Phase-II-SAVANNAH-Studie: Bestimmung optimaler MET-Cutoffs (IHC/FISH) für Savolitinib plus Osimertinib bei vorbehandeltem NSCLC.</w:t>
      </w:r>
    </w:p>
    <w:p>
      <w:r>
        <w:rPr>
          <w:b/>
        </w:rPr>
        <w:t xml:space="preserve">Ergebnis: </w:t>
      </w:r>
      <w:r>
        <w:t>ORR 49 % (MET IHC 3+/≥90 % und/oder FISH 10+) vs. 9 % (MET-negativ); 32 % (MET IHC 3+/≥50 % oder FISH 5+). Prävalenz MET 3+/≥90 % oder FISH 10+ betrug 34 %. Optimale Cutoffs identifiziert für Phase-III-SAFFRON-Studie.</w:t>
      </w:r>
    </w:p>
    <w:p>
      <w:r>
        <w:rPr>
          <w:b/>
          <w:sz w:val="19"/>
        </w:rPr>
        <w:t xml:space="preserve">Übertragbarkeit: </w:t>
      </w:r>
      <w:r>
        <w:rPr>
          <w:sz w:val="19"/>
        </w:rPr>
        <w:t>Internationale Studie, Biomarker-Definition für Zulassungspfade weltweit</w:t>
      </w:r>
    </w:p>
    <w:p>
      <w:r>
        <w:rPr>
          <w:color w:val="5A7D3A"/>
          <w:sz w:val="18"/>
        </w:rPr>
        <w:t>https://pubmed.ncbi.nlm.nih.gov/42752799/</w:t>
      </w:r>
    </w:p>
    <w:p>
      <w:pPr>
        <w:pStyle w:val="Heading2"/>
      </w:pPr>
      <w:r>
        <w:t>Immun-Checkpoint-Inhibitoren bei Kopf-Hals-Tumoren mit niedriger PD-L1: verschlechterte Überlebensergebnisse</w:t>
      </w:r>
    </w:p>
    <w:p>
      <w:r>
        <w:rPr>
          <w:i/>
          <w:color w:val="666666"/>
          <w:sz w:val="18"/>
        </w:rPr>
        <w:t>Jin M et al.  ·  JAMA Oncol  ·  17.09.2026  ·  PMID 42752536</w:t>
      </w:r>
    </w:p>
    <w:p>
      <w:r>
        <w:t>Bayessche Metaanalyse von 7 randomisierten Studien (630 Patienten mit PD-L1 CPS &lt;1) zum Overall Survival unter ICI-Therapie vs. Standard-Chemotherapie bei Kopf-Hals-Karzinomen.</w:t>
      </w:r>
    </w:p>
    <w:p>
      <w:r>
        <w:rPr>
          <w:b/>
        </w:rPr>
        <w:t xml:space="preserve">Ergebnis: </w:t>
      </w:r>
      <w:r>
        <w:t>Posterior-Wahrscheinlichkeit für schlechteres OS unter ICI: 95,6 %. Bayesscher HR 1,42 (95% KI 0,93–2,06); frequentistischer HR 1,46 (95% KI 1,17–1,83; p&lt;0,001). Empfehlung: Vorsicht bei ICI in dieser PD-L1-negativen Subgruppe.</w:t>
      </w:r>
    </w:p>
    <w:p>
      <w:r>
        <w:rPr>
          <w:b/>
          <w:sz w:val="19"/>
        </w:rPr>
        <w:t xml:space="preserve">Übertragbarkeit: </w:t>
      </w:r>
      <w:r>
        <w:rPr>
          <w:sz w:val="19"/>
        </w:rPr>
        <w:t>USA und internationale Studien, Befund ist allgemein anwendbar</w:t>
      </w:r>
    </w:p>
    <w:p>
      <w:r>
        <w:rPr>
          <w:color w:val="5A7D3A"/>
          <w:sz w:val="18"/>
        </w:rPr>
        <w:t>https://pubmed.ncbi.nlm.nih.gov/42752536/</w:t>
      </w:r>
    </w:p>
    <w:p>
      <w:pPr>
        <w:pStyle w:val="Heading2"/>
      </w:pPr>
      <w:r>
        <w:t>Tumorreaktion γδ T-Zell-Rezeptoren aus Myelom: Machine-Learning-Identifikation und universelle Therapie</w:t>
      </w:r>
    </w:p>
    <w:p>
      <w:r>
        <w:rPr>
          <w:i/>
          <w:color w:val="666666"/>
          <w:sz w:val="18"/>
        </w:rPr>
        <w:t>St Paul M et al.  ·  Nature  ·  16.09.2026  ·  PMID 42749802</w:t>
      </w:r>
    </w:p>
    <w:p>
      <w:r>
        <w:t>Grundlagenarbeit: PreGame-Algorithmus zur Identifikation tumorreaktiver γδ TCRs aus Single-Cell-Daten. Validierung in Patienten mit Multiplem Myelom; Expansion tumorreaktiver γδ T-Zellen als früher Biomarker für Therapieansprechen.</w:t>
      </w:r>
    </w:p>
    <w:p>
      <w:r>
        <w:rPr>
          <w:b/>
        </w:rPr>
        <w:t xml:space="preserve">Ergebnis: </w:t>
      </w:r>
      <w:r>
        <w:t>PreGame identifiziert tumorreaktion γδ T-Zellen zuverlässig. Expansion während Belantamab-Mafodotin-Therapie korrelierte mit Ansprechen. γδ TCR-Epitop in HLA-C gefunden; Potenzial für universelle γδ-TCR-Therapeutika.</w:t>
      </w:r>
    </w:p>
    <w:p>
      <w:r>
        <w:rPr>
          <w:b/>
          <w:sz w:val="19"/>
        </w:rPr>
        <w:t xml:space="preserve">Übertragbarkeit: </w:t>
      </w:r>
      <w:r>
        <w:rPr>
          <w:sz w:val="19"/>
        </w:rPr>
        <w:t>Kanada und international, Grundlagenergebnis mit Therapie-Translationspfad</w:t>
      </w:r>
    </w:p>
    <w:p>
      <w:r>
        <w:rPr>
          <w:color w:val="5A7D3A"/>
          <w:sz w:val="18"/>
        </w:rPr>
        <w:t>https://pubmed.ncbi.nlm.nih.gov/42749802/</w:t>
      </w:r>
    </w:p>
    <w:p>
      <w:pPr>
        <w:pStyle w:val="Heading2"/>
      </w:pPr>
      <w:r>
        <w:t>Sozioökonomische Disparitäten bei Sarkomdiagnose und Zentrumsanbindung</w:t>
      </w:r>
    </w:p>
    <w:p>
      <w:r>
        <w:rPr>
          <w:i/>
          <w:color w:val="666666"/>
          <w:sz w:val="18"/>
        </w:rPr>
        <w:t>Mascaró-Baselga P et al.  ·  Oncologist  ·  09.09.2026  ·  PMID 42704687</w:t>
      </w:r>
    </w:p>
    <w:p>
      <w:r>
        <w:t>Querschnittsstudie an 415 Sarkom-Patienten (365 Spanien, 50 Portugal) zu Einflussfaktoren auf Diagnostik, Überweisung und Patientengruppen-Awareness.</w:t>
      </w:r>
    </w:p>
    <w:p>
      <w:r>
        <w:rPr>
          <w:b/>
        </w:rPr>
        <w:t xml:space="preserve">Ergebnis: </w:t>
      </w:r>
      <w:r>
        <w:t>Niedrigeres Einkommen (OR 2,38) war mit längeren Diagnostik-Verzögerungen assoziiert; ländliches Wohnen (OR 3,48) mit weniger Überweisungen zu Spezialistzentren. Sarkoma-Spezifische Advocacy-Group-Awareness lag bei 20 % und war höher mit Universitätsabschluss (OR 4,27). Auch in universellen Gesundheitssystemen bestehen Ungleichheiten beim Zugang.</w:t>
      </w:r>
    </w:p>
    <w:p>
      <w:r>
        <w:rPr>
          <w:b/>
          <w:sz w:val="19"/>
        </w:rPr>
        <w:t xml:space="preserve">Übertragbarkeit: </w:t>
      </w:r>
      <w:r>
        <w:rPr>
          <w:sz w:val="19"/>
        </w:rPr>
        <w:t>Spanien und Portugal, europäische Versicherungssysteme, universale Gesundheitsversorgung</w:t>
      </w:r>
    </w:p>
    <w:p>
      <w:r>
        <w:rPr>
          <w:color w:val="5A7D3A"/>
          <w:sz w:val="18"/>
        </w:rPr>
        <w:t>https://pubmed.ncbi.nlm.nih.gov/42704687/</w:t>
      </w:r>
    </w:p>
    <w:p>
      <w:pPr>
        <w:pStyle w:val="Heading1"/>
      </w:pPr>
      <w:r>
        <w:t>Aufgenommen am 20.09.2026</w:t>
      </w:r>
    </w:p>
    <w:p>
      <w:pPr>
        <w:pStyle w:val="Heading2"/>
      </w:pPr>
      <w:r>
        <w:t>Omit-CTV in begrenzt-stadialem Kleinzellkarzinom: Gleiche Wirkung, weniger Toxizität</w:t>
      </w:r>
    </w:p>
    <w:p>
      <w:r>
        <w:rPr>
          <w:i/>
          <w:color w:val="666666"/>
          <w:sz w:val="18"/>
        </w:rPr>
        <w:t>Wang X et al.  ·  Radiother Oncol  ·  19.09.2026  ·  PMID 42763051</w:t>
      </w:r>
    </w:p>
    <w:p>
      <w:r>
        <w:t>Retrospektive Real-World-Studie an 946 Patienten mit begrenzt-stadialem Kleinzellkarzinom der Lunge zum Vergleich von Bestrahlungstechnik mit und ohne klinisches Zielvolumen.</w:t>
      </w:r>
    </w:p>
    <w:p>
      <w:r>
        <w:rPr>
          <w:b/>
        </w:rPr>
        <w:t xml:space="preserve">Ergebnis: </w:t>
      </w:r>
      <w:r>
        <w:t>Mediales PFS 11,8 vs. 11,6 Monate (HR 0,93; p=0,500), mediales OS 35,8 vs. 30,7 Monate (HR 0,85; p=0,220). Omit-CTV zeigte niedrigere Pneumonitis-Raten (Grad ≥3: 3,4 % vs. 8,3 %) und Ösophagitis (Grad ≥3: 5,7 % vs. 9,1 %). Bei Immuntherapie-Patienten: nicht erreichte PFS vs. 15,2 Monate (HR 0,48; p=0,033), nicht erreichte OS vs. 26,9 Monate (HR 0,31; p=0,018).</w:t>
      </w:r>
    </w:p>
    <w:p>
      <w:r>
        <w:rPr>
          <w:b/>
          <w:sz w:val="19"/>
        </w:rPr>
        <w:t xml:space="preserve">Übertragbarkeit: </w:t>
      </w:r>
      <w:r>
        <w:rPr>
          <w:sz w:val="19"/>
        </w:rPr>
        <w:t>China, nationale Klinikdaten; technische Replizierbarkeit international, aber Validierung erforderlich</w:t>
      </w:r>
    </w:p>
    <w:p>
      <w:r>
        <w:rPr>
          <w:color w:val="5A7D3A"/>
          <w:sz w:val="18"/>
        </w:rPr>
        <w:t>https://pubmed.ncbi.nlm.nih.gov/42763051/</w:t>
      </w:r>
    </w:p>
    <w:p>
      <w:pPr>
        <w:pStyle w:val="Heading2"/>
      </w:pPr>
      <w:r>
        <w:t>Dosisunterversorgung bei Protonentherapie: Kein Einfluss auf Ansprechen bei Ösophaguskarzinom</w:t>
      </w:r>
    </w:p>
    <w:p>
      <w:r>
        <w:rPr>
          <w:i/>
          <w:color w:val="666666"/>
          <w:sz w:val="18"/>
        </w:rPr>
        <w:t>van Keeken K et al.  ·  Radiother Oncol  ·  19.09.2026  ·  PMID 42763050</w:t>
      </w:r>
    </w:p>
    <w:p>
      <w:r>
        <w:t>Retrospektive niederländische Analyse von 135 Patienten mit distalem Ösophaguskarzinom unter neoadjuvanter Chemoradiotherapie und intensitätsmodulierter Protonentherapie zur Beziehung zwischen akkumulierter Targetdosis und Tumor-Response.</w:t>
      </w:r>
    </w:p>
    <w:p>
      <w:r>
        <w:rPr>
          <w:b/>
        </w:rPr>
        <w:t xml:space="preserve">Ergebnis: </w:t>
      </w:r>
      <w:r>
        <w:t>Dosisunterversorgung des Internal-Target-Volume (ITV D98 % &lt;94 %) trat bei 21 % auf, Gross-Tumor-Volume-Unterversorgung in 0 %. Persistierende klinische komplette Remission/pathologische komplette Remission: 30 % mit vs. 28 % ohne ITV-Unterversorgung (p=0,90). 2-Jahres-OS identisch (64 %). Zwerchfellbewegung &gt;2 cm war nicht mit Unterversorgung assoziiert.</w:t>
      </w:r>
    </w:p>
    <w:p>
      <w:r>
        <w:rPr>
          <w:b/>
          <w:sz w:val="19"/>
        </w:rPr>
        <w:t xml:space="preserve">Übertragbarkeit: </w:t>
      </w:r>
      <w:r>
        <w:rPr>
          <w:sz w:val="19"/>
        </w:rPr>
        <w:t>Niederländische Klinik, vergleichbares Versicherungssystem; Technische Parameter übertragbar</w:t>
      </w:r>
    </w:p>
    <w:p>
      <w:r>
        <w:rPr>
          <w:color w:val="5A7D3A"/>
          <w:sz w:val="18"/>
        </w:rPr>
        <w:t>https://pubmed.ncbi.nlm.nih.gov/42763050/</w:t>
      </w:r>
    </w:p>
    <w:p>
      <w:pPr>
        <w:pStyle w:val="Heading2"/>
      </w:pPr>
      <w:r>
        <w:t>MammaPrint im MINDACT: 70-Gen-Signatur bestätigt Prognosekraft bei hochrisiko-Brustkrebspatientinnen</w:t>
      </w:r>
    </w:p>
    <w:p>
      <w:r>
        <w:rPr>
          <w:i/>
          <w:color w:val="666666"/>
          <w:sz w:val="18"/>
        </w:rPr>
        <w:t>Gielen RCAM et al.  ·  Eur J Cancer  ·  11.09.2026  ·  PMID 42762561</w:t>
      </w:r>
    </w:p>
    <w:p>
      <w:r>
        <w:t>Exploratorische Subgruppen-Analyse des MINDACT-Trials zu prognostischer Performance des 70-Gen-Signatures in Patientinnen über 50 Jahren mit HR+/HER2- Brustkrebs und klinisch hohem, genomisch niedrigem Risiko, die auf Chemotherapie verzichteten.</w:t>
      </w:r>
    </w:p>
    <w:p>
      <w:r>
        <w:rPr>
          <w:b/>
        </w:rPr>
        <w:t xml:space="preserve">Ergebnis: </w:t>
      </w:r>
      <w:r>
        <w:t>Bei 490 Patientinnen mit Tumoren &gt;2 cm: 8-Jahres-DMFS 87,9 % ohne Chemotherapie (95%-KI 82,9–91,6 %), absoluter Benefit durch Chemotherapie 1,2 %. Bei Grad-3-Tumoren (n=232): DMFS 91,3 % ohne Chemotherapie, Benefit -2,2 %. Bei Lymphknoten-Befall (n=406): DMFS 89,6 %, Benefit 0,7 %. Der Signatur behält prognostische Validität in diesen Hochrisiko-Subgruppen.</w:t>
      </w:r>
    </w:p>
    <w:p>
      <w:r>
        <w:rPr>
          <w:b/>
          <w:sz w:val="19"/>
        </w:rPr>
        <w:t xml:space="preserve">Übertragbarkeit: </w:t>
      </w:r>
      <w:r>
        <w:rPr>
          <w:sz w:val="19"/>
        </w:rPr>
        <w:t>Europäischer Multizenterstudie (EORTC); GnP-Assessment, Leitlinien-relevant</w:t>
      </w:r>
    </w:p>
    <w:p>
      <w:r>
        <w:rPr>
          <w:color w:val="5A7D3A"/>
          <w:sz w:val="18"/>
        </w:rPr>
        <w:t>https://pubmed.ncbi.nlm.nih.gov/42762561/</w:t>
      </w:r>
    </w:p>
    <w:p>
      <w:pPr>
        <w:pStyle w:val="Heading2"/>
      </w:pPr>
      <w:r>
        <w:t>Zugang zu Phase-I-Studien: Barrieren und Chancen bei 26.000 Patienten</w:t>
      </w:r>
    </w:p>
    <w:p>
      <w:r>
        <w:rPr>
          <w:i/>
          <w:color w:val="666666"/>
          <w:sz w:val="18"/>
        </w:rPr>
        <w:t>Roulleaux Dugage M et al.  ·  Eur J Cancer  ·  17.09.2026  ·  PMID 42762559</w:t>
      </w:r>
    </w:p>
    <w:p>
      <w:r>
        <w:t>Französisches Einzelzentrum-Register (Gustave Roussy 2007–2023) zur Untersuchung von Überweisungs- und Einschluss-Mustern in Early-Phase-Trials sowie Dauer bis Therapie-Beginn und Behandlungs-Dauer.</w:t>
      </w:r>
    </w:p>
    <w:p>
      <w:r>
        <w:rPr>
          <w:b/>
        </w:rPr>
        <w:t xml:space="preserve">Ergebnis: </w:t>
      </w:r>
      <w:r>
        <w:t>Von 26.394 überweisenen Patienten wurden 13.713 (52 %) evaluiert, 5.847 (22 %) gaben Einwilligung ab, 4.769 (18 %) erhielten mindestens eine Dosis. Mediane Zeit von Uberweisung zu Trial-Inkl: variabel nach Tumortyp. Zugangsdisparitäten: Nicht-kleinzelliges Lungenkarzinom war häufigste Überweisung (n=5.025, 19 %), aber Brust-, Kolorektal- und Pankreaskarzinom hatten niedrige Behandlungsquoten trotz hoher Überweisungen. Therapeutische Landschaft: Anstieg von Antikörper-Wirkstoff-Konjugaten und T-Zell-Engagern, Rückgang konventioneller monoklonaler Antikörper.</w:t>
      </w:r>
    </w:p>
    <w:p>
      <w:r>
        <w:rPr>
          <w:b/>
          <w:sz w:val="19"/>
        </w:rPr>
        <w:t xml:space="preserve">Übertragbarkeit: </w:t>
      </w:r>
      <w:r>
        <w:rPr>
          <w:sz w:val="19"/>
        </w:rPr>
        <w:t>Frankreich, spezialisiertes Zentrum; begrenzte Übertragbarkeit auf Flächenversorgung, methodisch hochwertig</w:t>
      </w:r>
    </w:p>
    <w:p>
      <w:r>
        <w:rPr>
          <w:color w:val="5A7D3A"/>
          <w:sz w:val="18"/>
        </w:rPr>
        <w:t>https://pubmed.ncbi.nlm.nih.gov/42762559/</w:t>
      </w:r>
    </w:p>
    <w:p>
      <w:pPr>
        <w:pStyle w:val="Heading2"/>
      </w:pPr>
      <w:r>
        <w:t>Europäisches Netzwerk für Krebsversorgung bei Jugendlichen und jungen Erwachsenen</w:t>
      </w:r>
    </w:p>
    <w:p>
      <w:r>
        <w:rPr>
          <w:i/>
          <w:color w:val="666666"/>
          <w:sz w:val="18"/>
        </w:rPr>
        <w:t>Ferrari A et al.  ·  ESMO Open  ·  18.09.2026  ·  PMID 42759381</w:t>
      </w:r>
    </w:p>
    <w:p>
      <w:r>
        <w:t>Policy-Paper eines europäischen Expertise-Netzwerks zu Versorgung von Adoleszenten und jungen Erwachsenen (Alter 15–39 Jahre) mit Krebserkrankungen mit Fokus auf nationale Kooperation und strukturelle Maßnahmen.</w:t>
      </w:r>
    </w:p>
    <w:p>
      <w:r>
        <w:rPr>
          <w:b/>
        </w:rPr>
        <w:t xml:space="preserve">Ergebnis: </w:t>
      </w:r>
      <w:r>
        <w:t>Netzwerk empfiehlt: (1) Etablierung länderspezifischer AYA-Zentren, (2) Kooperation zwischen pädiatrischen und Erwachsenen-Onkologie-Diensten, (3) strukturierte Psychosozial-Unterstützung, (4) harmonisierte Datenerfassung für vergleichende Analyse. Hauptmerkmale: Unterschiedliche nationale Zugangsbarrieren und Versorgungsstrukturen in Europas Ländern erfordern lokale Anpassung bei gemeinsamen Standards.</w:t>
      </w:r>
    </w:p>
    <w:p>
      <w:r>
        <w:rPr>
          <w:b/>
          <w:sz w:val="19"/>
        </w:rPr>
        <w:t xml:space="preserve">Übertragbarkeit: </w:t>
      </w:r>
      <w:r>
        <w:rPr>
          <w:sz w:val="19"/>
        </w:rPr>
        <w:t>Europäischer Kontext, 14 Länder; Übertragbar auf deutsches System mit entsprechender Anpassung</w:t>
      </w:r>
    </w:p>
    <w:p>
      <w:r>
        <w:rPr>
          <w:color w:val="5A7D3A"/>
          <w:sz w:val="18"/>
        </w:rPr>
        <w:t>https://pubmed.ncbi.nlm.nih.gov/42759381/</w:t>
      </w:r>
    </w:p>
    <w:p>
      <w:pPr>
        <w:pStyle w:val="Heading2"/>
      </w:pPr>
      <w:r>
        <w:t>Internationale Konsens-Kriterien für T-Zell-Großgranulär-Lymphom-Diagnose und Therapie</w:t>
      </w:r>
    </w:p>
    <w:p>
      <w:r>
        <w:rPr>
          <w:i/>
          <w:color w:val="666666"/>
          <w:sz w:val="18"/>
        </w:rPr>
        <w:t>Brammer JE et al.  ·  Blood  ·  21.08.2026  ·  PMID 42640859</w:t>
      </w:r>
    </w:p>
    <w:p>
      <w:r>
        <w:t>Internationale Konsensus-Arbeit (LGLL Consortium) zur Etablierung einheitlicher Diagnose-, Behandlungs- und Response-Kriterien für die seltene T-Zell-Großgranulär-Leukämie zur Standardisierung klinischer und Forschungspraxis.</w:t>
      </w:r>
    </w:p>
    <w:p>
      <w:r>
        <w:rPr>
          <w:b/>
        </w:rPr>
        <w:t xml:space="preserve">Ergebnis: </w:t>
      </w:r>
      <w:r>
        <w:t>Konsens auf folgende Punkte: (1) Harmonisierte diagnostische Laborkriterien (Flow-Cytometrie, TCR-Molekularanalyse), (2) standardisierte Behandlungsinitiat-Indikatoren (Symptomatik, Organfunktion), (3) einheitliche Response-Assessment-Parameter (Hämatologie, funktionelle Marker). Empfehlungen zur Differenzialdiagnose autoimmunärer Phänomene. Kriterien adressieren zentrale Heterogenität bisheriger Studien, um zukünftige Trials und Klinik zu vereinheitlichen.</w:t>
      </w:r>
    </w:p>
    <w:p>
      <w:r>
        <w:rPr>
          <w:b/>
          <w:sz w:val="19"/>
        </w:rPr>
        <w:t xml:space="preserve">Übertragbarkeit: </w:t>
      </w:r>
      <w:r>
        <w:rPr>
          <w:sz w:val="19"/>
        </w:rPr>
        <w:t>International mit europäischen Zentren; Standards sind system-unabhängig, direkt übertragbar</w:t>
      </w:r>
    </w:p>
    <w:p>
      <w:r>
        <w:rPr>
          <w:color w:val="5A7D3A"/>
          <w:sz w:val="18"/>
        </w:rPr>
        <w:t>https://pubmed.ncbi.nlm.nih.gov/42640859/</w:t>
      </w:r>
    </w:p>
    <w:p>
      <w:pPr>
        <w:pStyle w:val="Heading1"/>
      </w:pPr>
      <w:r>
        <w:t>Aufgenommen am 19.09.2026</w:t>
      </w:r>
    </w:p>
    <w:p>
      <w:pPr>
        <w:pStyle w:val="Heading2"/>
      </w:pPr>
      <w:r>
        <w:t>Präzisions-Prävention und Früherkennung: Framework für neue Krebskontroll-Pfade</w:t>
      </w:r>
    </w:p>
    <w:p>
      <w:r>
        <w:rPr>
          <w:i/>
          <w:color w:val="666666"/>
          <w:sz w:val="18"/>
        </w:rPr>
        <w:t>Rebbeck TR  ·  Lancet  ·  18.09.2026  ·  PMID 42759527</w:t>
      </w:r>
    </w:p>
    <w:p>
      <w:r>
        <w:t>Editoriales Essay zu Precision Prevention and Early Detection (PPED) – ein Rahmenwerk, das fragt: Wer hat erhöhtes Krebsrisiko, welche Intervention wann, wie de-eskalieren in Niedrig-Risiko-Gruppen?</w:t>
      </w:r>
    </w:p>
    <w:p>
      <w:r>
        <w:rPr>
          <w:b/>
        </w:rPr>
        <w:t xml:space="preserve">Ergebnis: </w:t>
      </w:r>
      <w:r>
        <w:t>Nur 13% der Krebsfälle werden durch Screening entdeckt; 20–50% präsentieren sich notfallmäßig. PPED-Logik funktioniert bei erblichen Syndromen mit ausreichend angereichertem Risiko. Schlüssel: Gesundheitssystem-Infrastruktur und Arbeitskräfte für longitudinales Präventions-Planning; de-Eskalation in Niedrig-Risiko-Personen genauso wichtig wie Intensivierung in Hoch-Risiko. Größte Herausforderung der nächsten Dekade.</w:t>
      </w:r>
    </w:p>
    <w:p>
      <w:r>
        <w:rPr>
          <w:b/>
          <w:sz w:val="19"/>
        </w:rPr>
        <w:t xml:space="preserve">Übertragbarkeit: </w:t>
      </w:r>
      <w:r>
        <w:rPr>
          <w:sz w:val="19"/>
        </w:rPr>
        <w:t>Weltweit anwendbare Prinzipien; deutsche Früherkennung und Zentrenstruktur ermöglichen Umsetzung.</w:t>
      </w:r>
    </w:p>
    <w:p>
      <w:r>
        <w:rPr>
          <w:color w:val="5A7D3A"/>
          <w:sz w:val="18"/>
        </w:rPr>
        <w:t>https://pubmed.ncbi.nlm.nih.gov/42759527/</w:t>
      </w:r>
    </w:p>
    <w:p>
      <w:pPr>
        <w:pStyle w:val="Heading2"/>
      </w:pPr>
      <w:r>
        <w:t>Symptom-Belastung in Krebspatienten korreliert mit geringerer Therapie- und höherer Supportiv-Kostennutzung</w:t>
      </w:r>
    </w:p>
    <w:p>
      <w:r>
        <w:rPr>
          <w:i/>
          <w:color w:val="666666"/>
          <w:sz w:val="18"/>
        </w:rPr>
        <w:t>Hirpara DH et al.  ·  J Clin Oncol  ·  18.09.2026  ·  PMID 42758960</w:t>
      </w:r>
    </w:p>
    <w:p>
      <w:r>
        <w:t>Populationsbasierte Kohortenstudie aus Ontario, Kanada: 285.924 Krebspatienten mit 1.728.025 ESAS-Assessments (Edmonton Symptom Assessment) zur Assoziation zwischen Patient-Reported Outcomes und Gesundheitskosten.</w:t>
      </w:r>
    </w:p>
    <w:p>
      <w:r>
        <w:rPr>
          <w:b/>
        </w:rPr>
        <w:t xml:space="preserve">Ergebnis: </w:t>
      </w:r>
      <w:r>
        <w:t>Höchste Symptom-Belastung (Müdigkeit, Depression, Wohlbefinden) bei Atem-, HNO-Tumoren. Jede 10-Punkte-Zunahme ESAS-Score: 9,4% weniger Krebs-Therapiekosten (sinkende Therapie-Nutzung), aber 18% mehr Supportiv-Care-Kosten (mehr ED-Besuche, Hauscare). GI/Mamma/ZNS teuerste Entitäten (85–78k CAD/30 Tage). Aktives Symptom-Management könnte Krebs-Therapien fördern und unnötige Supportiv-Kosten senken.</w:t>
      </w:r>
    </w:p>
    <w:p>
      <w:r>
        <w:rPr>
          <w:b/>
          <w:sz w:val="19"/>
        </w:rPr>
        <w:t xml:space="preserve">Übertragbarkeit: </w:t>
      </w:r>
      <w:r>
        <w:rPr>
          <w:sz w:val="19"/>
        </w:rPr>
        <w:t>Kanada, ähnliches Versicherungssystem wie Deutschland; Symptom-Management-Evidenz direkt relevant.</w:t>
      </w:r>
    </w:p>
    <w:p>
      <w:r>
        <w:rPr>
          <w:color w:val="5A7D3A"/>
          <w:sz w:val="18"/>
        </w:rPr>
        <w:t>https://pubmed.ncbi.nlm.nih.gov/42758960/</w:t>
      </w:r>
    </w:p>
    <w:p>
      <w:pPr>
        <w:pStyle w:val="Heading2"/>
      </w:pPr>
      <w:r>
        <w:t>Tyrosinkinasehemmer verbessert Gesamtüberleben bei BCR::ABL1+ AML deutlich</w:t>
      </w:r>
    </w:p>
    <w:p>
      <w:r>
        <w:rPr>
          <w:i/>
          <w:color w:val="666666"/>
          <w:sz w:val="18"/>
        </w:rPr>
        <w:t>Bertoli S et al.  ·  Blood  ·  18.09.2026  ·  PMID 42758645</w:t>
      </w:r>
    </w:p>
    <w:p>
      <w:r>
        <w:t>Multizentrische europäische Studie: 212 Patienten mit de novo BCR::ABL1+ AML wurden retrospektiv analysiert – intensiveChemotherapie (IC) allein oder kombiniert mit Tyrosinkinasehemmer (TKI).</w:t>
      </w:r>
    </w:p>
    <w:p>
      <w:r>
        <w:rPr>
          <w:b/>
        </w:rPr>
        <w:t xml:space="preserve">Ergebnis: </w:t>
      </w:r>
      <w:r>
        <w:t>Mit IC+TKI erreichten 110/123 Patienten (89%) komplette Remission/CRi vs. 52/77 (68%) mit IC allein (p&lt;0,0001). 5-Jahres-Gesamtüberleben: 62,9% (IC+TKI) vs. 38,5% (IC; p&lt;0,0001). Im multivariaten Modell: Odds Ratio für CR/CRi 4,74 (95%-KI 2,17–10,35), Hazard Ratio für Überleben 0,40 (0,27–0,62; p&lt;0,001). TKI-Zusatz ist unabhängiger prognostischer Faktor.</w:t>
      </w:r>
    </w:p>
    <w:p>
      <w:r>
        <w:rPr>
          <w:b/>
          <w:sz w:val="19"/>
        </w:rPr>
        <w:t xml:space="preserve">Übertragbarkeit: </w:t>
      </w:r>
      <w:r>
        <w:rPr>
          <w:sz w:val="19"/>
        </w:rPr>
        <w:t>Französisch-deutsches Konsortium, europäische Versicherungssysteme, direkt übertragbar auf deutsche Kliniken.</w:t>
      </w:r>
    </w:p>
    <w:p>
      <w:r>
        <w:rPr>
          <w:color w:val="5A7D3A"/>
          <w:sz w:val="18"/>
        </w:rPr>
        <w:t>https://pubmed.ncbi.nlm.nih.gov/42758645/</w:t>
      </w:r>
    </w:p>
    <w:p>
      <w:pPr>
        <w:pStyle w:val="Heading2"/>
      </w:pPr>
      <w:r>
        <w:t>Intraoperative Radiotherapie zeigt Lokalrezidiv-Raten vergleichbar mit postoperativen Boost</w:t>
      </w:r>
    </w:p>
    <w:p>
      <w:r>
        <w:rPr>
          <w:i/>
          <w:color w:val="666666"/>
          <w:sz w:val="18"/>
        </w:rPr>
        <w:t>Sarria GR et al.  ·  Strahlenther Onkol  ·  17.09.2026  ·  PMID 42754764</w:t>
      </w:r>
    </w:p>
    <w:p>
      <w:r>
        <w:t>Matched-Pair-Analyse von 400 Brustkrebs-Patientinnen (je 200 mit intraoperativer oder postoperativer EBRT-Boost) mit frühen Hochrisikotumoreneach Brustkrebserhaltender Chirurgie.</w:t>
      </w:r>
    </w:p>
    <w:p>
      <w:r>
        <w:rPr>
          <w:b/>
        </w:rPr>
        <w:t xml:space="preserve">Ergebnis: </w:t>
      </w:r>
      <w:r>
        <w:t>Nach medianer 58-Monate-Nachsorge: Kumulative lokale Rezidiv-Inzidenz 3,5% (IORT) vs. 2,0% (EBRT); HR 1,80 (95%-KI 0,58–5,58; p=0,312, nicht signifikant). Keine Unterschiede bei Lymphknoten-, Fernmetastasen-freiem Überleben oder Gesamtüberleben (alle p&gt;0,6). IORT ist wirksame, gut verträgliche Alternative ohne Kompromisse im Langzeit-Onkologie.</w:t>
      </w:r>
    </w:p>
    <w:p>
      <w:r>
        <w:rPr>
          <w:b/>
          <w:sz w:val="19"/>
        </w:rPr>
        <w:t xml:space="preserve">Übertragbarkeit: </w:t>
      </w:r>
      <w:r>
        <w:rPr>
          <w:sz w:val="19"/>
        </w:rPr>
        <w:t>Deutsche und europäische Zentren, Versicherungssystem unabhängig, direkt übertragbar.</w:t>
      </w:r>
    </w:p>
    <w:p>
      <w:r>
        <w:rPr>
          <w:color w:val="5A7D3A"/>
          <w:sz w:val="18"/>
        </w:rPr>
        <w:t>https://pubmed.ncbi.nlm.nih.gov/42754764/</w:t>
      </w:r>
    </w:p>
    <w:p>
      <w:pPr>
        <w:pStyle w:val="Heading2"/>
      </w:pPr>
      <w:r>
        <w:t>Seltene EGFR-T790M-Keimbahn-Mutation mit Lungenkrebsrisiko in Southern Appalachia identifiziert</w:t>
      </w:r>
    </w:p>
    <w:p>
      <w:r>
        <w:rPr>
          <w:i/>
          <w:color w:val="666666"/>
          <w:sz w:val="18"/>
        </w:rPr>
        <w:t>LoPiccolo J et al.  ·  Science  ·  17.09.2026  ·  PMID 42752144</w:t>
      </w:r>
    </w:p>
    <w:p>
      <w:r>
        <w:t>Große bevölkerungsgenetische Studie (&gt;3,3 Mio. Personen) zur Assoziation der EGFR-T790M-Variante mit Lungenkrebsrisiko.</w:t>
      </w:r>
    </w:p>
    <w:p>
      <w:r>
        <w:rPr>
          <w:b/>
        </w:rPr>
        <w:t xml:space="preserve">Ergebnis: </w:t>
      </w:r>
      <w:r>
        <w:t>EGFR-T790M signifikant mit Lungenkrebsrisiko assoziiert, aber nicht mit 17 anderen Tumoren; Risiko übersteigt Raucher-Risiko, mehrfach höher in Never-Smokern. Geografisch/ancestral: höhere Prävalenz in USA (Southern-Appalachian-Founder-Event 200–225 Jahre ago, Herkunft britisch/irisch). Prävalenz regional deutlich erhöht, betrifft britische, irische und afrikanische Abstammung. Erkannte Hochrisiko-Träger ermöglichen gezielte genetische Tests und Screening-Strategien.</w:t>
      </w:r>
    </w:p>
    <w:p>
      <w:r>
        <w:rPr>
          <w:b/>
          <w:sz w:val="19"/>
        </w:rPr>
        <w:t xml:space="preserve">Übertragbarkeit: </w:t>
      </w:r>
      <w:r>
        <w:rPr>
          <w:sz w:val="19"/>
        </w:rPr>
        <w:t>Transatlantische Studie, Angloamerika-Fokus; für Deutschland gering: regionale Appalachian-Founder-Effekt USA-spezifisch.</w:t>
      </w:r>
    </w:p>
    <w:p>
      <w:r>
        <w:rPr>
          <w:color w:val="5A7D3A"/>
          <w:sz w:val="18"/>
        </w:rPr>
        <w:t>https://pubmed.ncbi.nlm.nih.gov/42752144/</w:t>
      </w:r>
    </w:p>
    <w:p>
      <w:pPr>
        <w:pStyle w:val="Heading2"/>
      </w:pPr>
      <w:r>
        <w:t>Elacestrant zeigt anhaltende Vorteile bei ESR1-mutiertem HR+/HER2– mBC</w:t>
      </w:r>
    </w:p>
    <w:p>
      <w:r>
        <w:rPr>
          <w:i/>
          <w:color w:val="666666"/>
          <w:sz w:val="18"/>
        </w:rPr>
        <w:t>Curigliano G et al.  ·  ESMO Open  ·  14.09.2026  ·  PMID 42735454</w:t>
      </w:r>
    </w:p>
    <w:p>
      <w:r>
        <w:t>Real-World-Analyse von 281 Patientinnen mit HR+/HER2-negativ ESR1-mutiertem metastasiertem Brustkrebs nach ≥1 Linie endokriner Therapie plus CDK4/6-Hemmer.</w:t>
      </w:r>
    </w:p>
    <w:p>
      <w:r>
        <w:rPr>
          <w:b/>
        </w:rPr>
        <w:t xml:space="preserve">Ergebnis: </w:t>
      </w:r>
      <w:r>
        <w:t>Medianer Zeitpunkt bis nächste Therapie: 8,2 Monate (95%-KI 6,0–12,2) in Gruppe mit 1–2 Linien ET+CDK4/6i (n=108); 9,0 Monate bei ≥12-monatiger Vortherapie (n=85; 95%-KI 7,7–13,7). Mit nur 1 Vorlinientherapie: 12,2 Monate (95%-KI 9,0-nicht erreicht; n=31). Leber-/Lungenmets: 6,9 Monate; Gehirnmets: 7,4 Monate. Koexistente ESR1+PI3K-Mutation: 6,1 Monate. Durable Vorteile unterstützen Elacestrant als Erst-Option für endokrin-sensitive HR+ ESR1-mutierte Tumoren.</w:t>
      </w:r>
    </w:p>
    <w:p>
      <w:r>
        <w:rPr>
          <w:b/>
          <w:sz w:val="19"/>
        </w:rPr>
        <w:t xml:space="preserve">Übertragbarkeit: </w:t>
      </w:r>
      <w:r>
        <w:rPr>
          <w:sz w:val="19"/>
        </w:rPr>
        <w:t>Europäische und kanadische Zentren, vergleichbares Versicherungssystem, breiter anwendbar.</w:t>
      </w:r>
    </w:p>
    <w:p>
      <w:r>
        <w:rPr>
          <w:color w:val="5A7D3A"/>
          <w:sz w:val="18"/>
        </w:rPr>
        <w:t>https://pubmed.ncbi.nlm.nih.gov/42735454/</w:t>
      </w:r>
    </w:p>
    <w:p>
      <w:pPr>
        <w:pStyle w:val="Heading2"/>
      </w:pPr>
      <w:r>
        <w:t>Thymusbestrahlung bei NSCLC mit höherem Metastasen- und Todesrisiko assoziiert</w:t>
      </w:r>
    </w:p>
    <w:p>
      <w:r>
        <w:rPr>
          <w:i/>
          <w:color w:val="666666"/>
          <w:sz w:val="18"/>
        </w:rPr>
        <w:t>Prudente V et al.  ·  Ann Oncol  ·  25.08.2026  ·  PMID 42641684</w:t>
      </w:r>
    </w:p>
    <w:p>
      <w:r>
        <w:t>Multikohorten-Analyse von 1.107 NSCLC-Patienten (RTOG-0617 und zwei Real-World-Kohorten) zur Auswirkung akzidenteller Thymusbestrahlung auf Outcome.</w:t>
      </w:r>
    </w:p>
    <w:p>
      <w:r>
        <w:rPr>
          <w:b/>
        </w:rPr>
        <w:t xml:space="preserve">Ergebnis: </w:t>
      </w:r>
      <w:r>
        <w:t>Mittlere Thymusdosis (MTD) von 1 Gy assoziiert mit 1,57–4,21% erhöhtem Distanzmetastasen-Risiko (RTOG: aHR 1,29, p=0,0028; Harvard-CRT: aHR 1,33, p=0,011; Harvard-Durva: aHR 1,95, p=0,007). Patienten mit erhaltenem Thymus vorher besonders gefährdet. Nach 1 Jahr: Dosis-abhängiger Thymusfunktions-Verlust und niedrigere Lymphozytenzahlen. Neuplanuung-Machbarkeitsstudie zeigte thymussparing möglich ohne Tumorüberdeckungs-Verlust.</w:t>
      </w:r>
    </w:p>
    <w:p>
      <w:r>
        <w:rPr>
          <w:b/>
          <w:sz w:val="19"/>
        </w:rPr>
        <w:t xml:space="preserve">Übertragbarkeit: </w:t>
      </w:r>
      <w:r>
        <w:rPr>
          <w:sz w:val="19"/>
        </w:rPr>
        <w:t>USA-Daten, aber biologischer Mechanismus universal; deutsche Zentren können Planung adaptieren.</w:t>
      </w:r>
    </w:p>
    <w:p>
      <w:r>
        <w:rPr>
          <w:color w:val="5A7D3A"/>
          <w:sz w:val="18"/>
        </w:rPr>
        <w:t>https://pubmed.ncbi.nlm.nih.gov/42641684/</w:t>
      </w:r>
    </w:p>
    <w:p>
      <w:pPr>
        <w:pStyle w:val="Heading1"/>
      </w:pPr>
      <w:r>
        <w:t>Aufgenommen am 18.09.2026</w:t>
      </w:r>
    </w:p>
    <w:p>
      <w:pPr>
        <w:pStyle w:val="Heading2"/>
      </w:pPr>
      <w:r>
        <w:t>Perfluorheptansäure (PFHpA) erhöht Leberkrebsrisiko: Fallkontrollstudie</w:t>
      </w:r>
    </w:p>
    <w:p>
      <w:r>
        <w:rPr>
          <w:i/>
          <w:color w:val="666666"/>
          <w:sz w:val="18"/>
        </w:rPr>
        <w:t>Watling CZ et al.  ·  J Natl Cancer Inst  ·  17.09.2026  ·  PMID 42752878</w:t>
      </w:r>
    </w:p>
    <w:p>
      <w:r>
        <w:t>Verschachtelte Fall-Kontroll-Studie in 12 prospektiven US-Kohorten (853 Fälle, 853 Kontrollen) zur Assoziation von Per- und Polyfluoralkylverbindungen (PFAS) ausser PFOS, PFOA, PFHxS mit Leberkrebs (Prävention).</w:t>
      </w:r>
    </w:p>
    <w:p>
      <w:r>
        <w:rPr>
          <w:b/>
        </w:rPr>
        <w:t xml:space="preserve">Ergebnis: </w:t>
      </w:r>
      <w:r>
        <w:t>Perfluorheptansäure (PFHpA) positiv mit Leberkrebsrisiko assoziiert: Odds Ratio 1,78 (95%-KI 1,26-2,52). Stärkere Assoziation bei Männern (OR 3,72), HCC (4,53), ≤10 Jahre nach Blutentnahme (3,17). Andere PFAS ohne Assoziation.</w:t>
      </w:r>
    </w:p>
    <w:p>
      <w:r>
        <w:rPr>
          <w:b/>
          <w:sz w:val="19"/>
        </w:rPr>
        <w:t xml:space="preserve">Übertragbarkeit: </w:t>
      </w:r>
      <w:r>
        <w:rPr>
          <w:sz w:val="19"/>
        </w:rPr>
        <w:t>USA-Bevölkerungsdaten; Kurzkettige-PFAS persistieren auch in Europrodukten.</w:t>
      </w:r>
    </w:p>
    <w:p>
      <w:r>
        <w:rPr>
          <w:color w:val="5A7D3A"/>
          <w:sz w:val="18"/>
        </w:rPr>
        <w:t>https://pubmed.ncbi.nlm.nih.gov/42752878/</w:t>
      </w:r>
    </w:p>
    <w:p>
      <w:pPr>
        <w:pStyle w:val="Heading2"/>
      </w:pPr>
      <w:r>
        <w:t>Zolbetuximab versus Immune Checkpoint Inhibitoren bei claudin-18.2-positivem Magenkrebs</w:t>
      </w:r>
    </w:p>
    <w:p>
      <w:r>
        <w:rPr>
          <w:i/>
          <w:color w:val="666666"/>
          <w:sz w:val="18"/>
        </w:rPr>
        <w:t>Shitara K et al.  ·  ESMO Open  ·  16.09.2026  ·  PMID 42748508</w:t>
      </w:r>
    </w:p>
    <w:p>
      <w:r>
        <w:t>Netzwerk-Metaanalyse vergleicht Zolbetuximab plus Chemotherapie mit ICI-basierter Therapie nach PD-L1-CPS-Subgruppen bei fortgeschrittenem Magen-/gastro-ösophagealem Adenokarzinom in ersten Therapielinie.</w:t>
      </w:r>
    </w:p>
    <w:p>
      <w:r>
        <w:rPr>
          <w:b/>
        </w:rPr>
        <w:t xml:space="preserve">Ergebnis: </w:t>
      </w:r>
      <w:r>
        <w:t>Bei PD-L1 CPS ≥1 bis &lt;10 ähnliche oder numerisch günstigere Effekte für Zolbetuximab auf Overall Survival und Progression-Free Survival versus ICIs. Bei CPS ≥10 numerisch vorteilhaft für ICIs, aber mit optimalisierter Zolbetuximab-Exposition vergleichbar.</w:t>
      </w:r>
    </w:p>
    <w:p>
      <w:r>
        <w:rPr>
          <w:b/>
          <w:sz w:val="19"/>
        </w:rPr>
        <w:t xml:space="preserve">Übertragbarkeit: </w:t>
      </w:r>
      <w:r>
        <w:rPr>
          <w:sz w:val="19"/>
        </w:rPr>
        <w:t>Indirekte Vergleiche; biomarker-informierter Ansatz unterstützt, Bestätigung durch prospektive Studien erforderlich.</w:t>
      </w:r>
    </w:p>
    <w:p>
      <w:r>
        <w:rPr>
          <w:color w:val="5A7D3A"/>
          <w:sz w:val="18"/>
        </w:rPr>
        <w:t>https://pubmed.ncbi.nlm.nih.gov/42748508/</w:t>
      </w:r>
    </w:p>
    <w:p>
      <w:pPr>
        <w:pStyle w:val="Heading2"/>
      </w:pPr>
      <w:r>
        <w:t>Achtsamkeit und Tai Chi verbessern Schlaf, Fatigue und Schmerz nach Krebsbehandlung</w:t>
      </w:r>
    </w:p>
    <w:p>
      <w:r>
        <w:rPr>
          <w:i/>
          <w:color w:val="666666"/>
          <w:sz w:val="18"/>
        </w:rPr>
        <w:t>Ma Y et al.  ·  J Clin Oncol  ·  16.09.2026  ·  PMID 42748380</w:t>
      </w:r>
    </w:p>
    <w:p>
      <w:r>
        <w:t>Teilweise randomisierte Patient-Choice-Studie (Mindfulness and Tai Chi for Cancer Health, MATCH) mit 587 Krebsüberlebenden (Durchschnittsalter 60,7 Jahre) zur Wirkung von Achtsamkeitsbasierter Krebsgenesungsgruppe (MBCR) oder Tai Chi/Qigong (TCQ) versus Warteliste auf Schlaf, Fatigue und Schmerz.</w:t>
      </w:r>
    </w:p>
    <w:p>
      <w:r>
        <w:rPr>
          <w:b/>
        </w:rPr>
        <w:t xml:space="preserve">Ergebnis: </w:t>
      </w:r>
      <w:r>
        <w:t>TCQ vs Warteliste: Schlafqualität 1,9 Punkte Verbesserung (p=0,004). MBCR und TCQ vs Warteliste: Fatigue jeweils 3,66 und 3,42 Punkte besser (MBCR p=0,036, TCQ p=0,043). Schmerzbeeinträchtigung &gt;1 Punkt Verbesserung (MBCR p=0,029, TCQ p=0,002). MBCR und TCQ unterschieden sich nicht.</w:t>
      </w:r>
    </w:p>
    <w:p>
      <w:r>
        <w:rPr>
          <w:b/>
          <w:sz w:val="19"/>
        </w:rPr>
        <w:t xml:space="preserve">Übertragbarkeit: </w:t>
      </w:r>
      <w:r>
        <w:rPr>
          <w:sz w:val="19"/>
        </w:rPr>
        <w:t>Kanadisch-amerikanische Studie; psychosoziale Nachsorge übertragbar auf deutsche Zentren.</w:t>
      </w:r>
    </w:p>
    <w:p>
      <w:r>
        <w:rPr>
          <w:color w:val="5A7D3A"/>
          <w:sz w:val="18"/>
        </w:rPr>
        <w:t>https://pubmed.ncbi.nlm.nih.gov/42748380/</w:t>
      </w:r>
    </w:p>
    <w:p>
      <w:pPr>
        <w:pStyle w:val="Heading2"/>
      </w:pPr>
      <w:r>
        <w:t>Wachsendes Krebsaufkommen in Afrika 2023: Kinder, Jugendliche, junge Erwachsene stark betroffen</w:t>
      </w:r>
    </w:p>
    <w:p>
      <w:r>
        <w:rPr>
          <w:i/>
          <w:color w:val="666666"/>
          <w:sz w:val="18"/>
        </w:rPr>
        <w:t>GBD 2023 Africa Cancer Risk Factors Collaborators  ·  Lancet Oncol  ·  15.09.2026  ·  PMID 42743938</w:t>
      </w:r>
    </w:p>
    <w:p>
      <w:r>
        <w:t>Global Burden of Disease Study 2023 zu Krebsinzidenz, -mortalität und Behinderungsbereinigten Lebensjahren (DALYs) in 54 afrikanischen Ländern, 1990-2023; Analyse von 48 Krebsentitäten und 88 Risikofaktoren.</w:t>
      </w:r>
    </w:p>
    <w:p>
      <w:r>
        <w:rPr>
          <w:b/>
        </w:rPr>
        <w:t xml:space="preserve">Ergebnis: </w:t>
      </w:r>
      <w:r>
        <w:t>2023: 1,54 Mio. neue Fälle (95%-UI 1,37-1,75), 923 000 Todesfälle (824 000-1 020 000), 33,9 Mio. DALYs in Afrika. Kinder 0-19 Jahre: 104 000 Fälle (27,7% global), 38,0% globaler Todesfälle. 31,6% DALYs attributiv modifiable Risikofaktoren.</w:t>
      </w:r>
    </w:p>
    <w:p>
      <w:r>
        <w:rPr>
          <w:b/>
          <w:sz w:val="19"/>
        </w:rPr>
        <w:t xml:space="preserve">Übertragbarkeit: </w:t>
      </w:r>
      <w:r>
        <w:rPr>
          <w:sz w:val="19"/>
        </w:rPr>
        <w:t>Bevölkerungsdaten aus 54 Ländern, primär für Gesundheitspolitik und Ressourcenplanung in Afrika relevant.</w:t>
      </w:r>
    </w:p>
    <w:p>
      <w:r>
        <w:rPr>
          <w:color w:val="5A7D3A"/>
          <w:sz w:val="18"/>
        </w:rPr>
        <w:t>https://pubmed.ncbi.nlm.nih.gov/42743938/</w:t>
      </w:r>
    </w:p>
    <w:p>
      <w:pPr>
        <w:pStyle w:val="Heading2"/>
      </w:pPr>
      <w:r>
        <w:t>Perioperatives Durvalumab plus FLOT verlängert Gesamtüberleben bei resektablem Magenkrebs</w:t>
      </w:r>
    </w:p>
    <w:p>
      <w:r>
        <w:rPr>
          <w:i/>
          <w:color w:val="666666"/>
          <w:sz w:val="18"/>
        </w:rPr>
        <w:t>Janjigian YY et al.  ·  Lancet  ·  19.09.2026  ·  PMID 42716074</w:t>
      </w:r>
    </w:p>
    <w:p>
      <w:r>
        <w:t>Randomisierte Phase-3-Studie zur Wirkung von Durvalumab (Immune Checkpoint Inhibitor) plus perioperativer Chemotherapie (FLOT) versus Placebo plus FLOT bei 948 Patienten mit resektablem Magenkarzinom (Stadium II-IVa).</w:t>
      </w:r>
    </w:p>
    <w:p>
      <w:r>
        <w:rPr>
          <w:b/>
        </w:rPr>
        <w:t xml:space="preserve">Ergebnis: </w:t>
      </w:r>
      <w:r>
        <w:t>Gesamtüberleben (Overall Survival) signifikant verbessert mit Durvalumab: Hazard Ratio 0,78 (95%-KI 0,63-0,96; p=0,021). Die Therapie ist neue Standardoption für resektables Magen- und gastro-ösophageales Adenokarzinom.</w:t>
      </w:r>
    </w:p>
    <w:p>
      <w:r>
        <w:rPr>
          <w:b/>
          <w:sz w:val="19"/>
        </w:rPr>
        <w:t xml:space="preserve">Übertragbarkeit: </w:t>
      </w:r>
      <w:r>
        <w:rPr>
          <w:sz w:val="19"/>
        </w:rPr>
        <w:t>Globale Studie in 147 Zentren, vergleichbare Studiendesign wie in deutschem System relevant.</w:t>
      </w:r>
    </w:p>
    <w:p>
      <w:r>
        <w:rPr>
          <w:color w:val="5A7D3A"/>
          <w:sz w:val="18"/>
        </w:rPr>
        <w:t>https://pubmed.ncbi.nlm.nih.gov/42716074/</w:t>
      </w:r>
    </w:p>
    <w:p>
      <w:pPr>
        <w:pStyle w:val="Heading2"/>
      </w:pPr>
      <w:r>
        <w:t>Zehnjahresüberleben nach Brustkrebs nach Stadium, molekularem Subtyp und Grad kombiniert</w:t>
      </w:r>
    </w:p>
    <w:p>
      <w:r>
        <w:rPr>
          <w:i/>
          <w:color w:val="666666"/>
          <w:sz w:val="18"/>
        </w:rPr>
        <w:t>Giudici F et al.  ·  Oncologist  ·  09.09.2026  ·  PMID 42640557</w:t>
      </w:r>
    </w:p>
    <w:p>
      <w:r>
        <w:t>Populationsbasierte Kohortenstudie aus der Friuli-Venezia-Giulia-Krebsregisters (Nordostitalien) mit 10 467 Frauen &lt;75 Jahre, diagnostiziert 2004-2014; Verfolgung bis 2023.</w:t>
      </w:r>
    </w:p>
    <w:p>
      <w:r>
        <w:rPr>
          <w:b/>
        </w:rPr>
        <w:t xml:space="preserve">Ergebnis: </w:t>
      </w:r>
      <w:r>
        <w:t>Höchstes Gesamtüberleben (10-Jahres-Nettoüberleben) bei Stadium I HR+/HER2-: 98,8%. Tiefste bei Stadium III Triple-Negativ: 35,1%. Stadium IV Triple-Negativ: 6,7% vs HR-/HER2+: 18,9%. Vergleich 2004-2009 vs 2010-2014: Verbesserung bei Stadium III HR-/HER2+ von 48,6% auf 87,9% (+39 Prozentpunkte), Stadium III Triple-Negativ 28,8% auf 42,3%.</w:t>
      </w:r>
    </w:p>
    <w:p>
      <w:r>
        <w:rPr>
          <w:b/>
          <w:sz w:val="19"/>
        </w:rPr>
        <w:t xml:space="preserve">Übertragbarkeit: </w:t>
      </w:r>
      <w:r>
        <w:rPr>
          <w:sz w:val="19"/>
        </w:rPr>
        <w:t>Italienisches (europäisches) Krebsregister, vergleichbar mit deutschem System und Dokumentation.</w:t>
      </w:r>
    </w:p>
    <w:p>
      <w:r>
        <w:rPr>
          <w:color w:val="5A7D3A"/>
          <w:sz w:val="18"/>
        </w:rPr>
        <w:t>https://pubmed.ncbi.nlm.nih.gov/42640557/</w:t>
      </w:r>
    </w:p>
    <w:p>
      <w:pPr>
        <w:pStyle w:val="Heading1"/>
      </w:pPr>
      <w:r>
        <w:t>Aufgenommen am 17.09.2026</w:t>
      </w:r>
    </w:p>
    <w:p>
      <w:pPr>
        <w:pStyle w:val="Heading2"/>
      </w:pPr>
      <w:r>
        <w:t>eHealth-Intervention (CUMACA-M) stabilisiert Lebensqualität von Brustkrebsüberlebenden über 9 Monate</w:t>
      </w:r>
    </w:p>
    <w:p>
      <w:r>
        <w:rPr>
          <w:i/>
          <w:color w:val="666666"/>
          <w:sz w:val="18"/>
        </w:rPr>
        <w:t>J Natl Cancer Inst  ·  2026  ·  PMID djag328</w:t>
      </w:r>
    </w:p>
    <w:p>
      <w:r>
        <w:t>Spanische randomisierte Kontrollstudie mit 201 krankheitsfreien Brustkrebsüberlebenden (≥5 Jahre nach Diagnose), 9-Monate-eHealth-Intervention vs. Standardcare.</w:t>
      </w:r>
    </w:p>
    <w:p>
      <w:r>
        <w:rPr>
          <w:b/>
        </w:rPr>
        <w:t xml:space="preserve">Ergebnis: </w:t>
      </w:r>
      <w:r>
        <w:t>Gesamtlebensqualität stabil in Interventionsgruppe (5,70→5,69), Rückgang in Kontrolle (5,83→5,57, Δ=-0,26), Differenz 0,24 Punkte (95% CI 0,03-0,44), p=0,024. Psychisches Wohlbefinden Cohen d=0,40, physisches d=0,28.</w:t>
      </w:r>
    </w:p>
    <w:p>
      <w:r>
        <w:rPr>
          <w:b/>
          <w:sz w:val="19"/>
        </w:rPr>
        <w:t xml:space="preserve">Übertragbarkeit: </w:t>
      </w:r>
      <w:r>
        <w:rPr>
          <w:sz w:val="19"/>
        </w:rPr>
        <w:t>Europäisches System (Spanien/öffentliche Versicherung), digitale Nachsorgeintervention für Flächeimplementierung geeignet.</w:t>
      </w:r>
    </w:p>
    <w:p>
      <w:r>
        <w:rPr>
          <w:color w:val="5A7D3A"/>
          <w:sz w:val="18"/>
        </w:rPr>
        <w:t>https://pubmed.ncbi.nlm.nih.gov/djag328/</w:t>
      </w:r>
    </w:p>
    <w:p>
      <w:pPr>
        <w:pStyle w:val="Heading2"/>
      </w:pPr>
      <w:r>
        <w:t>HRS-4642+Adebrelimab bei KRAS-G12D-Pankreas-Ca: 43% Ansprechrate ohne Chemotherapie</w:t>
      </w:r>
    </w:p>
    <w:p>
      <w:r>
        <w:rPr>
          <w:i/>
          <w:color w:val="666666"/>
          <w:sz w:val="18"/>
        </w:rPr>
        <w:t>Shi S et al.  ·  Cancer Cell  ·  16.09.2026  ·  PMID 42748921</w:t>
      </w:r>
    </w:p>
    <w:p>
      <w:r>
        <w:t>Phase-1/2-Studie mit 48 Patienten (davon 37 in der RP2D-Kohorte) mit metastasiertem KRAS-G12D-mutiertem Pankreaskarzinom, chemofrei mit KRAS-inhibitor+PD-L1-Blocker behandelt.</w:t>
      </w:r>
    </w:p>
    <w:p>
      <w:r>
        <w:rPr>
          <w:b/>
        </w:rPr>
        <w:t xml:space="preserve">Ergebnis: </w:t>
      </w:r>
      <w:r>
        <w:t>Bestätigte ORR 43,2% (95% CI 27,1-60,5), Krankheitskontrollrate 81,1%, mediane Progressionsfreihheit 5,7 Monate, medianes Gesamtüberleben 11,5 Monate. Häufigste Nebenwirkungen: Hypercholesterinämie und Anämie je 50%.</w:t>
      </w:r>
    </w:p>
    <w:p>
      <w:r>
        <w:rPr>
          <w:b/>
          <w:sz w:val="19"/>
        </w:rPr>
        <w:t xml:space="preserve">Übertragbarkeit: </w:t>
      </w:r>
      <w:r>
        <w:rPr>
          <w:sz w:val="19"/>
        </w:rPr>
        <w:t>China-Studie, KRAS-Inhibitor nicht europäisch zugelassen, Sicherheitsdaten übertragbar.</w:t>
      </w:r>
    </w:p>
    <w:p>
      <w:r>
        <w:rPr>
          <w:color w:val="5A7D3A"/>
          <w:sz w:val="18"/>
        </w:rPr>
        <w:t>https://pubmed.ncbi.nlm.nih.gov/42748921/</w:t>
      </w:r>
    </w:p>
    <w:p>
      <w:pPr>
        <w:pStyle w:val="Heading2"/>
      </w:pPr>
      <w:r>
        <w:t>Triplet-Chemotherapie bei fortgeschrittenem Pankreas-Ca: 63% Ansprechrate, 60% Konversion</w:t>
      </w:r>
    </w:p>
    <w:p>
      <w:r>
        <w:rPr>
          <w:i/>
          <w:color w:val="666666"/>
          <w:sz w:val="18"/>
        </w:rPr>
        <w:t>Nagatani Y et al.  ·  Eur J Cancer  ·  10.09.2026  ·  PMID 42748587</w:t>
      </w:r>
    </w:p>
    <w:p>
      <w:r>
        <w:t>Japanische Phase-II-Multicenterstudie mit 30 Patienten, gesamte Chemotherapie (Gemcitabin, nab-Paclitaxel) mit oralem S-1 kombiniert.</w:t>
      </w:r>
    </w:p>
    <w:p>
      <w:r>
        <w:rPr>
          <w:b/>
        </w:rPr>
        <w:t xml:space="preserve">Ergebnis: </w:t>
      </w:r>
      <w:r>
        <w:t>ORR 63,3% (primärer Endpunkt erreicht), Krankheitskontrollrate 86,7%, medianes progressionsfreies Überleben 9,0 Monate, medianes Gesamtüberleben 15,0 Monate. 60% der lokalfortgeschrittenen Patienten zur Resektabilität konvertiert.</w:t>
      </w:r>
    </w:p>
    <w:p>
      <w:r>
        <w:rPr>
          <w:b/>
          <w:sz w:val="19"/>
        </w:rPr>
        <w:t xml:space="preserve">Übertragbarkeit: </w:t>
      </w:r>
      <w:r>
        <w:rPr>
          <w:sz w:val="19"/>
        </w:rPr>
        <w:t>Japanische Daten, S-1 in Deutschland verfügbar, Triplet potenziell praxisrelevant.</w:t>
      </w:r>
    </w:p>
    <w:p>
      <w:r>
        <w:rPr>
          <w:color w:val="5A7D3A"/>
          <w:sz w:val="18"/>
        </w:rPr>
        <w:t>https://pubmed.ncbi.nlm.nih.gov/42748587/</w:t>
      </w:r>
    </w:p>
    <w:p>
      <w:pPr>
        <w:pStyle w:val="Heading2"/>
      </w:pPr>
      <w:r>
        <w:t>Pembrolizumab bei Magenkarzinom: Überlebensvorteil 12,9 vs. 11,5 Monate bestätigt</w:t>
      </w:r>
    </w:p>
    <w:p>
      <w:r>
        <w:rPr>
          <w:i/>
          <w:color w:val="666666"/>
          <w:sz w:val="18"/>
        </w:rPr>
        <w:t>Rha SY et al.  ·  ESMO Open  ·  16.09.2026  ·  PMID 42748509</w:t>
      </w:r>
    </w:p>
    <w:p>
      <w:r>
        <w:t>Randomisierte Phase-III-Studie (KEYNOTE-859) mit 1.579 Patienten mit HER2-negativem lokal fortgeschrittenem/metastasiertem Magen-GÖJ-Adenokarzinom; 4,5-Jahre-Follow-up.</w:t>
      </w:r>
    </w:p>
    <w:p>
      <w:r>
        <w:rPr>
          <w:b/>
        </w:rPr>
        <w:t xml:space="preserve">Ergebnis: </w:t>
      </w:r>
      <w:r>
        <w:t>Median Overall Survival 12,9 Monate (Pembrolizumab+Chemotherapie) vs. 11,5 Monate (Placebo+Chemotherapie), Hazard Ratio 0,78 (95% CI 0,70-0,86). Grade-3/4-Nebenwirkungen 58,3% vs. 49,3%.</w:t>
      </w:r>
    </w:p>
    <w:p>
      <w:r>
        <w:rPr>
          <w:b/>
          <w:sz w:val="19"/>
        </w:rPr>
        <w:t xml:space="preserve">Übertragbarkeit: </w:t>
      </w:r>
      <w:r>
        <w:rPr>
          <w:sz w:val="19"/>
        </w:rPr>
        <w:t>Globale Studie, europäische und asiatische Zentren, vergleichbare Versorgung.</w:t>
      </w:r>
    </w:p>
    <w:p>
      <w:r>
        <w:rPr>
          <w:color w:val="5A7D3A"/>
          <w:sz w:val="18"/>
        </w:rPr>
        <w:t>https://pubmed.ncbi.nlm.nih.gov/42748509/</w:t>
      </w:r>
    </w:p>
    <w:p>
      <w:pPr>
        <w:pStyle w:val="Heading2"/>
      </w:pPr>
      <w:r>
        <w:t>Blinatumomab ersetzt Chemotherapie in hochrisiko-ALL: 83% ereignisfreies Überleben</w:t>
      </w:r>
    </w:p>
    <w:p>
      <w:r>
        <w:rPr>
          <w:i/>
          <w:color w:val="666666"/>
          <w:sz w:val="18"/>
        </w:rPr>
        <w:t>Schrappe M et al.  ·  N Engl J Med  ·  17.09.2026  ·  PMID 42748428</w:t>
      </w:r>
    </w:p>
    <w:p>
      <w:r>
        <w:t>Randomisierte europäisch-internationale Studie bei 358 Kindern mit neu diagnostizierter B-ALL, die statt zwei Chemotherapie-Zyklen zwei Blinatumomab-Zyklen erhielten.</w:t>
      </w:r>
    </w:p>
    <w:p>
      <w:r>
        <w:rPr>
          <w:b/>
        </w:rPr>
        <w:t xml:space="preserve">Ergebnis: </w:t>
      </w:r>
      <w:r>
        <w:t>4-Jahres-Ereignisfreiheit 83,0% (Blinatumomab) vs. 70,3% (Kontrolle), Hazard Ratio 0,51, p=0,0002. Behandlungsbedingte Infektionen: 23,9% vs. 69,4%, lebensbedrohliche Ereignisse 0,5% vs. 4,7%.</w:t>
      </w:r>
    </w:p>
    <w:p>
      <w:r>
        <w:rPr>
          <w:b/>
          <w:sz w:val="19"/>
        </w:rPr>
        <w:t xml:space="preserve">Übertragbarkeit: </w:t>
      </w:r>
      <w:r>
        <w:rPr>
          <w:sz w:val="19"/>
        </w:rPr>
        <w:t>Deutsches/österreichisches Zentrumsprotokoll (BFM-ALL 2017), direkte Übertragung möglich.</w:t>
      </w:r>
    </w:p>
    <w:p>
      <w:r>
        <w:rPr>
          <w:color w:val="5A7D3A"/>
          <w:sz w:val="18"/>
        </w:rPr>
        <w:t>https://pubmed.ncbi.nlm.nih.gov/42748428/</w:t>
      </w:r>
    </w:p>
    <w:p>
      <w:pPr>
        <w:pStyle w:val="Heading2"/>
      </w:pPr>
      <w:r>
        <w:t>Fünfjährliche statt dreijährliche Koloskopie nach Adenomektomie: Nichtunterlegenheit bestätigt</w:t>
      </w:r>
    </w:p>
    <w:p>
      <w:r>
        <w:rPr>
          <w:i/>
          <w:color w:val="666666"/>
          <w:sz w:val="18"/>
        </w:rPr>
        <w:t>Jover R et al.  ·  N Engl J Med  ·  17.09.2026  ·  PMID 42748427</w:t>
      </w:r>
    </w:p>
    <w:p>
      <w:r>
        <w:t>Europäische Nichtunterlegenheitsstudie mit 10.799 Patienten nach Hochrisiko-Adenomektomie, randomisiert zu erste Surveillance nach 5 vs. 3 Jahren.</w:t>
      </w:r>
    </w:p>
    <w:p>
      <w:r>
        <w:rPr>
          <w:b/>
        </w:rPr>
        <w:t xml:space="preserve">Ergebnis: </w:t>
      </w:r>
      <w:r>
        <w:t>5-Jahres-Darmkrebsinzidenz 0,77% (5-jährig) vs. 0,82% (3-jährig), Nichtunterlegenheitsgrenze erreicht. Krebstodesfälle: 0,06% vs. 0,04%.</w:t>
      </w:r>
    </w:p>
    <w:p>
      <w:r>
        <w:rPr>
          <w:b/>
          <w:sz w:val="19"/>
        </w:rPr>
        <w:t xml:space="preserve">Übertragbarkeit: </w:t>
      </w:r>
      <w:r>
        <w:rPr>
          <w:sz w:val="19"/>
        </w:rPr>
        <w:t>Europäisches Studiendesign (Spanien, Norwegen, Polen, Dänemark), Nachsorgeleitlinien unmittelbar anwendbar.</w:t>
      </w:r>
    </w:p>
    <w:p>
      <w:r>
        <w:rPr>
          <w:color w:val="5A7D3A"/>
          <w:sz w:val="18"/>
        </w:rPr>
        <w:t>https://pubmed.ncbi.nlm.nih.gov/42748427/</w:t>
      </w:r>
    </w:p>
    <w:p>
      <w:pPr>
        <w:pStyle w:val="Heading1"/>
      </w:pPr>
      <w:r>
        <w:t>Aufgenommen am 16.09.2026</w:t>
      </w:r>
    </w:p>
    <w:p>
      <w:pPr>
        <w:pStyle w:val="Heading2"/>
      </w:pPr>
      <w:r>
        <w:t>Waldbrand-Feinstaub verstärkt Sterblichkeit von Lungenkrebspatienten um 78 % pro μg/m³</w:t>
      </w:r>
    </w:p>
    <w:p>
      <w:r>
        <w:rPr>
          <w:i/>
          <w:color w:val="666666"/>
          <w:sz w:val="18"/>
        </w:rPr>
        <w:t>Zhang M et al.  ·  Lancet Oncol  ·  15.09.2026  ·  PMID 42743939</w:t>
      </w:r>
    </w:p>
    <w:p>
      <w:r>
        <w:t>Retrospektive Kohortenstudie mit 414.016 älteren Lungenkrebspatienten aus SEER-Medicare (2006–2019) untersuchte die Auswirkung langfristiger Exposition gegenüber Waldbrand-assoziiertem PM2,5 vs. Nicht-Waldbrand-PM2,5 auf Overall Survival.</w:t>
      </w:r>
    </w:p>
    <w:p>
      <w:r>
        <w:rPr>
          <w:b/>
        </w:rPr>
        <w:t xml:space="preserve">Ergebnis: </w:t>
      </w:r>
      <w:r>
        <w:t>Jeder 1-μg/m³-Anstieg Waldbrand-PM2,5 war mit HR 1,0782 (95%-KI 1,0641–1,0924; p&lt;0,0001) für erhöhte Mortalität assoziiert, nicht-Waldbrand-PM2,5 mit HR 1,0171. Insgesamt 696 (95%-KI 576–814) durchschnittliche jährliche überschüssige Todesfälle waren der Waldbrand-Exposition zuzuordnen – pro Einheit toxischer als reguläre Luftverschmutzung.</w:t>
      </w:r>
    </w:p>
    <w:p>
      <w:r>
        <w:rPr>
          <w:b/>
          <w:sz w:val="19"/>
        </w:rPr>
        <w:t xml:space="preserve">Übertragbarkeit: </w:t>
      </w:r>
      <w:r>
        <w:rPr>
          <w:sz w:val="19"/>
        </w:rPr>
        <w:t>USA/SEER-Daten: Nur Sicherheitsbefund übertragbar, Feinstaub-Exposition in Deutschland gering</w:t>
      </w:r>
    </w:p>
    <w:p>
      <w:r>
        <w:rPr>
          <w:color w:val="5A7D3A"/>
          <w:sz w:val="18"/>
        </w:rPr>
        <w:t>https://pubmed.ncbi.nlm.nih.gov/42743939/</w:t>
      </w:r>
    </w:p>
    <w:p>
      <w:pPr>
        <w:pStyle w:val="Heading2"/>
      </w:pPr>
      <w:r>
        <w:t>Nach Neoadjuvant-Therapie mit Triplet: Adjuvante Chemotherapie hilft nur bei ypN+/CRT, nicht bei TNT</w:t>
      </w:r>
    </w:p>
    <w:p>
      <w:r>
        <w:rPr>
          <w:i/>
          <w:color w:val="666666"/>
          <w:sz w:val="18"/>
        </w:rPr>
        <w:t>Denost Q et al.  ·  Eur J Cancer  ·  11.09.2026  ·  PMID 42743888</w:t>
      </w:r>
    </w:p>
    <w:p>
      <w:r>
        <w:t>Post-hoc-Analyse von zwei französischen randomisierten Multizenterstudie (GRECCAR4, PRODIGE23) mit 489 Patienten mit lokal fortgeschrittenem Rektumkarzinom, die den Nutzen adjuvanter Chemotherapie (AC) nach TNT mit FOLFIRINOX vs. CRT bewertete.</w:t>
      </w:r>
    </w:p>
    <w:p>
      <w:r>
        <w:rPr>
          <w:b/>
        </w:rPr>
        <w:t xml:space="preserve">Ergebnis: </w:t>
      </w:r>
      <w:r>
        <w:t>Nach Neoadjuvant-TNT zeigte AC keinen Vorteil in 3-Jahre-DFS für ypN+ (TNT-Arm; p=0,33) oder ypN0/cN+ (p=0,45). Nach CRT profitierten nur ypN+-Patienten: 3-Jahre-DFS verbessert nach AC (TNT: keine; CRT: signifikant; p&lt;0,001), 3-Jahre-OS und -DMFS ebenfalls nur nach CRT signifikant. Diese Daten unterstützen Therapie-Deeskalation in der TNT-Ära.</w:t>
      </w:r>
    </w:p>
    <w:p>
      <w:r>
        <w:rPr>
          <w:b/>
          <w:sz w:val="19"/>
        </w:rPr>
        <w:t xml:space="preserve">Übertragbarkeit: </w:t>
      </w:r>
      <w:r>
        <w:rPr>
          <w:sz w:val="19"/>
        </w:rPr>
        <w:t>Deutschland/Frankreich: Europäische High-Volume-Zentren, deutsches Versicherungssystem vergleichbar</w:t>
      </w:r>
    </w:p>
    <w:p>
      <w:r>
        <w:rPr>
          <w:color w:val="5A7D3A"/>
          <w:sz w:val="18"/>
        </w:rPr>
        <w:t>https://pubmed.ncbi.nlm.nih.gov/42743888/</w:t>
      </w:r>
    </w:p>
    <w:p>
      <w:pPr>
        <w:pStyle w:val="Heading2"/>
      </w:pPr>
      <w:r>
        <w:t>Zirkufierende bakterielle DNA prognostiziert Therapieerfolg bei fortgeschrittenem Bauchspeicheldrüsenkrebs</w:t>
      </w:r>
    </w:p>
    <w:p>
      <w:r>
        <w:rPr>
          <w:i/>
          <w:color w:val="666666"/>
          <w:sz w:val="18"/>
        </w:rPr>
        <w:t>Surendran SA et al.  ·  Eur J Cancer  ·  10.09.2026  ·  PMID 42743886</w:t>
      </w:r>
    </w:p>
    <w:p>
      <w:r>
        <w:t>Studie von 13 + 47 Patienten mit fortgeschrittenem Pankreaskarzinom untersuchte, ob Veränderungen der zirkulierenden freien bakteriellen DNA (cfbDNA) im Serum unter Chemotherapie (FFX oder GnP) den Behandlungserfolg vorhersagen.</w:t>
      </w:r>
    </w:p>
    <w:p>
      <w:r>
        <w:rPr>
          <w:b/>
        </w:rPr>
        <w:t xml:space="preserve">Ergebnis: </w:t>
      </w:r>
      <w:r>
        <w:t>Patienten mit Abfall der cfbDNA unter FFX erreichten 14,3 vs. 2,9 Monate PFS (p&lt;0,001) und 23,2 vs. 8,4 Monate OS (p=0,006). Ein konstanter oder erhöhter cfbDNA-Wert war mit schlechterem OS assoziiert (HR 11,75; 95%-KI 1,87–73,85; p=0,009). Diese Marker-dynamik war aber regimen-abhängig: Bei GnP zeigte der cfbDNA-Rückgang gegenteilige Effekte.</w:t>
      </w:r>
    </w:p>
    <w:p>
      <w:r>
        <w:rPr>
          <w:b/>
          <w:sz w:val="19"/>
        </w:rPr>
        <w:t xml:space="preserve">Übertragbarkeit: </w:t>
      </w:r>
      <w:r>
        <w:rPr>
          <w:sz w:val="19"/>
        </w:rPr>
        <w:t>Deutschland/Österreich: Europäische Krankenhauskohorten mit vergleichbarer Dokumentation</w:t>
      </w:r>
    </w:p>
    <w:p>
      <w:r>
        <w:rPr>
          <w:color w:val="5A7D3A"/>
          <w:sz w:val="18"/>
        </w:rPr>
        <w:t>https://pubmed.ncbi.nlm.nih.gov/42743886/</w:t>
      </w:r>
    </w:p>
    <w:p>
      <w:pPr>
        <w:pStyle w:val="Heading2"/>
      </w:pPr>
      <w:r>
        <w:t>Triplet-Chemotherapie plus Panitumumab in RAS wild-typ mKRK erhält Lebensqualität</w:t>
      </w:r>
    </w:p>
    <w:p>
      <w:r>
        <w:rPr>
          <w:i/>
          <w:color w:val="666666"/>
          <w:sz w:val="18"/>
        </w:rPr>
        <w:t>Klingler TM et al.  ·  Eur J Cancer  ·  11.09.2026  ·  PMID 42743885</w:t>
      </w:r>
    </w:p>
    <w:p>
      <w:r>
        <w:t>Sekundäranalyse der deutschen Phase-II-Studie VOLFI (AIO-KRK 0109) mit 105 randomisierten Patienten, die den Effekt von mFOLFOXIRI + Panitumumab vs. FOLFOXIRI auf Lebensqualität (EORTC QLQ-C30) untersuchte.</w:t>
      </w:r>
    </w:p>
    <w:p>
      <w:r>
        <w:rPr>
          <w:b/>
        </w:rPr>
        <w:t xml:space="preserve">Ergebnis: </w:t>
      </w:r>
      <w:r>
        <w:t>77 Patienten (51 vs. 26) führten ≥1 Lebensqualitäts-Fragebogen aus. Nach 12 Wochen keine statistisch signifikanten Unterschiede in Gesamt-HRQoL oder spezifischen Dimensionen. Patienten mit mFOLFOXIRI + Panitumumab mit Hautotoxizität zeigten trotz Toxizität keine assoziierte Lebensqualitätsverschlechterung. mFOLFOXIRI + Panitumumab war nicht mit schlechterer HRQoL assoziiert.</w:t>
      </w:r>
    </w:p>
    <w:p>
      <w:r>
        <w:rPr>
          <w:b/>
          <w:sz w:val="19"/>
        </w:rPr>
        <w:t xml:space="preserve">Übertragbarkeit: </w:t>
      </w:r>
      <w:r>
        <w:rPr>
          <w:sz w:val="19"/>
        </w:rPr>
        <w:t>Deutschland: Alle Zentren Charité und LMU München – direkt übertragbar</w:t>
      </w:r>
    </w:p>
    <w:p>
      <w:r>
        <w:rPr>
          <w:color w:val="5A7D3A"/>
          <w:sz w:val="18"/>
        </w:rPr>
        <w:t>https://pubmed.ncbi.nlm.nih.gov/42743885/</w:t>
      </w:r>
    </w:p>
    <w:p>
      <w:pPr>
        <w:pStyle w:val="Heading2"/>
      </w:pPr>
      <w:r>
        <w:t>Ältere Brustkrebs-Patienten haben häufiger PIK3CA-Mutationen und höhere Tumorlast</w:t>
      </w:r>
    </w:p>
    <w:p>
      <w:r>
        <w:rPr>
          <w:i/>
          <w:color w:val="666666"/>
          <w:sz w:val="18"/>
        </w:rPr>
        <w:t>Gupta H et al.  ·  ESMO Open  ·  14.09.2026  ·  PMID 42735455</w:t>
      </w:r>
    </w:p>
    <w:p>
      <w:r>
        <w:t>Studie von 2.379 Patienten mit metastasiertem Brustkrebs (853 jung, 1.311 mittleres Alter, 215 älter ≥70 Jahre) verglich Tumor-Genomlandschaft mittels Zielsequenzierung (OncoPanel) nach Altersgruppe.</w:t>
      </w:r>
    </w:p>
    <w:p>
      <w:r>
        <w:rPr>
          <w:b/>
        </w:rPr>
        <w:t xml:space="preserve">Ergebnis: </w:t>
      </w:r>
      <w:r>
        <w:t>Ältere Patienten zeigten höhere Häufigkeit von SNVs in PIK3CA (44%), TP53 (33%), CDH1 (22%). Nach Adjustierung war hohes Alter assoziiert mit mehr PIK3CA-SNVs (OR 1,21; 95%-KI 1,11–1,31; q&lt;0,001), CDH1-SNVs (OR 1,43; 95%-KI 1,21–1,68) und 26% mit ≥10 Mutationen/Mb (vs. 17% bei Jüngsten). Diese Unterschiede waren unabhängig von Tumorsubtyp.</w:t>
      </w:r>
    </w:p>
    <w:p>
      <w:r>
        <w:rPr>
          <w:b/>
          <w:sz w:val="19"/>
        </w:rPr>
        <w:t xml:space="preserve">Übertragbarkeit: </w:t>
      </w:r>
      <w:r>
        <w:rPr>
          <w:sz w:val="19"/>
        </w:rPr>
        <w:t>USA-Klinik: Vergleichbare Versicherungssysteme bei Umsetzung, genomische Testung in Deutschland ebenfalls Standard</w:t>
      </w:r>
    </w:p>
    <w:p>
      <w:r>
        <w:rPr>
          <w:color w:val="5A7D3A"/>
          <w:sz w:val="18"/>
        </w:rPr>
        <w:t>https://pubmed.ncbi.nlm.nih.gov/42735455/</w:t>
      </w:r>
    </w:p>
    <w:p>
      <w:pPr>
        <w:pStyle w:val="Heading2"/>
      </w:pPr>
      <w:r>
        <w:t>Immuntyp-Transition vorhersagt Checkpoint-Inhibitor-Anspruch besser als Ausgangszustand</w:t>
      </w:r>
    </w:p>
    <w:p>
      <w:r>
        <w:rPr>
          <w:i/>
          <w:color w:val="666666"/>
          <w:sz w:val="18"/>
        </w:rPr>
        <w:t>Lin Z et al.  ·  Cancer Cell  ·  14.09.2026  ·  PMID 42679812</w:t>
      </w:r>
    </w:p>
    <w:p>
      <w:r>
        <w:t>Longitudinale Single-Cell-RNA-Sequenzierung von 441 Proben aus 241 Patienten mit zehn Krebsentitäten untersuchte die Umgestaltung der Tumor-Immunmikroumgebung (TIME) unter Checkpoint-Inhibitor-Therapie und entwickelte eine prädiktive Signatur.</w:t>
      </w:r>
    </w:p>
    <w:p>
      <w:r>
        <w:rPr>
          <w:b/>
        </w:rPr>
        <w:t xml:space="preserve">Ergebnis: </w:t>
      </w:r>
      <w:r>
        <w:t>~40% der Tumore wechselten während Therapie zwischen TIME-Subtypen. Der Übergang (nicht der Ausgangszustand) war prognostischer: Günstige Übergänge zu entzündetem oder B-Zell-angereichertem Subtyp korrelierten mit verbessertem Ansprechen und Überleben. Eine 59-Gen-Signatur sagte Ansprechen und Überleben in 1.383 Baseline-Tumoren über 19 unabhängige Kohorten vorher (HR 2,15; KI-range über Publikationen relevant).</w:t>
      </w:r>
    </w:p>
    <w:p>
      <w:r>
        <w:rPr>
          <w:b/>
          <w:sz w:val="19"/>
        </w:rPr>
        <w:t xml:space="preserve">Übertragbarkeit: </w:t>
      </w:r>
      <w:r>
        <w:rPr>
          <w:sz w:val="19"/>
        </w:rPr>
        <w:t>International/Multi-Entity: Prinzipien auf deutsche Zentren mit Liquid Biopsy/Tumorboard anwendbar</w:t>
      </w:r>
    </w:p>
    <w:p>
      <w:r>
        <w:rPr>
          <w:color w:val="5A7D3A"/>
          <w:sz w:val="18"/>
        </w:rPr>
        <w:t>https://pubmed.ncbi.nlm.nih.gov/42679812/</w:t>
      </w:r>
    </w:p>
    <w:p>
      <w:pPr>
        <w:pStyle w:val="Heading1"/>
      </w:pPr>
      <w:r>
        <w:t>Aufgenommen am 15.09.2026</w:t>
      </w:r>
    </w:p>
    <w:p>
      <w:pPr>
        <w:pStyle w:val="Heading2"/>
      </w:pPr>
      <w:r>
        <w:t>HDR-Brachytherapie nach Strahlentherapie bei älteren Rektumkarzinom-Patienten: lokale Kontrolle bei 80 %</w:t>
      </w:r>
    </w:p>
    <w:p>
      <w:r>
        <w:rPr>
          <w:i/>
          <w:color w:val="666666"/>
          <w:sz w:val="18"/>
        </w:rPr>
        <w:t>Kristen A et al.  ·  Strahlenther Onkol  ·  14.09.2026  ·  PMID 42734824</w:t>
      </w:r>
    </w:p>
    <w:p>
      <w:r>
        <w:t>15 ältere/infirme Patienten mit Rektumkarzinom erhielten kombiniert externe Strahlentherapie (30-39 Gy/10-13 Fraktionen) und endorektale Hochdosis-Brachytherapie (12-24 Gy/2-3 Fraktionen); eine organerhaltende Methode für Operationsunfähige.</w:t>
      </w:r>
    </w:p>
    <w:p>
      <w:r>
        <w:rPr>
          <w:b/>
        </w:rPr>
        <w:t xml:space="preserve">Ergebnis: </w:t>
      </w:r>
      <w:r>
        <w:t>Nach 21 Monaten Median-Follow-up erreichten 12 von 15 Patienten (80 %) klinische komplette (n=6) oder nahezu komplette Remission (n=6); 4 Patienten (33 %) entwickelten später lokales Rezidiv, 4 (27 %) Fernmetastasen. Grad-3-Toxizität: 67 % Proktitis, 20 % schwere Rektalblutung (3 Patienten). Sicherheits- und Dosisoptimierungsfragen bleiben, besonders bei Antikoagulation.</w:t>
      </w:r>
    </w:p>
    <w:p>
      <w:r>
        <w:rPr>
          <w:b/>
          <w:sz w:val="19"/>
        </w:rPr>
        <w:t xml:space="preserve">Übertragbarkeit: </w:t>
      </w:r>
      <w:r>
        <w:rPr>
          <w:sz w:val="19"/>
        </w:rPr>
        <w:t>Deutschland, einzelzentrisch; Ansatz für zertifizierte Zentren mit Brachytherapie-Expertise geeignet</w:t>
      </w:r>
    </w:p>
    <w:p>
      <w:r>
        <w:rPr>
          <w:color w:val="5A7D3A"/>
          <w:sz w:val="18"/>
        </w:rPr>
        <w:t>https://pubmed.ncbi.nlm.nih.gov/42734824/</w:t>
      </w:r>
    </w:p>
    <w:p>
      <w:pPr>
        <w:pStyle w:val="Heading2"/>
      </w:pPr>
      <w:r>
        <w:t>Tambotatug Pelitecan (B7-H3-ADC) bei kleinzelligem Lungenkarzinom nach Platin: OS-Vorteil gegenüber Topotekan</w:t>
      </w:r>
    </w:p>
    <w:p>
      <w:r>
        <w:rPr>
          <w:i/>
          <w:color w:val="666666"/>
          <w:sz w:val="18"/>
        </w:rPr>
        <w:t>Zhao Y et al.  ·  N Engl J Med  ·  12.09.2026  ·  PMID 42734213</w:t>
      </w:r>
    </w:p>
    <w:p>
      <w:r>
        <w:t>Phase-III-TAISHAN-302, China: 451 Patienten mit rezidivierendem SCLC nach Platin-basierter Erstlinien-Therapie, randomisiert 1:1 zu Tambotatug Pelitecan (neuer B7-H3-zielgerichteter Antikörper-Wirkstoff-Konjugat) versus Topotekan; Interim-Analyse.</w:t>
      </w:r>
    </w:p>
    <w:p>
      <w:r>
        <w:rPr>
          <w:b/>
        </w:rPr>
        <w:t xml:space="preserve">Ergebnis: </w:t>
      </w:r>
      <w:r>
        <w:t>Median-OS: 13,3 Monate (Tam-Peli) vs. 9,4 Monate (Topotekan), HR 0,46 (95% KI 0,35–0,62, p&lt;0,001). Median-PFS: 7,4 vs. 2,8 Monate, HR 0,29 (p&lt;0,001). ORR: 59,1% vs. 9,7% (p&lt;0,001). Grad-≥3-AE: 55,4% vs. 77,9% (Tam-Peli günstiger). Diese Ergebnisse könnten neuen Standard für rezidiviertes SCLC begründen.</w:t>
      </w:r>
    </w:p>
    <w:p>
      <w:r>
        <w:rPr>
          <w:b/>
          <w:sz w:val="19"/>
        </w:rPr>
        <w:t xml:space="preserve">Übertragbarkeit: </w:t>
      </w:r>
      <w:r>
        <w:rPr>
          <w:sz w:val="19"/>
        </w:rPr>
        <w:t>China-Studie, globales Design; Zulassungsantrag ausstehend, deutsche Verfügbarkeit unklar – USA nur mit Vorbehalt übertragbar</w:t>
      </w:r>
    </w:p>
    <w:p>
      <w:r>
        <w:rPr>
          <w:color w:val="5A7D3A"/>
          <w:sz w:val="18"/>
        </w:rPr>
        <w:t>https://pubmed.ncbi.nlm.nih.gov/42734213/</w:t>
      </w:r>
    </w:p>
    <w:p>
      <w:pPr>
        <w:pStyle w:val="Heading2"/>
      </w:pPr>
      <w:r>
        <w:t>Tumoren unterdrücken T-Zell-Immunität durch Antioxidanzien – PRDX1 als therapeutisches Target</w:t>
      </w:r>
    </w:p>
    <w:p>
      <w:r>
        <w:rPr>
          <w:i/>
          <w:color w:val="666666"/>
          <w:sz w:val="18"/>
        </w:rPr>
        <w:t>Wesolowski AJ et al.  ·  Science  ·  03.09.2026  ·  PMID 42691162</w:t>
      </w:r>
    </w:p>
    <w:p>
      <w:r>
        <w:t>Grundlagenwerk zur Immunsuppression durch tumorales Peroxiredoxin-1 (PRDX1): Forschung zeigt, dass Tumoren Antioxidanzien in ihre Umgebung freisetzen und T-Zellen damit ihrer reaktiven Sauerstoffspezies berauben, was deren Signalübertragung blockiert.</w:t>
      </w:r>
    </w:p>
    <w:p>
      <w:r>
        <w:rPr>
          <w:b/>
        </w:rPr>
        <w:t xml:space="preserve">Ergebnis: </w:t>
      </w:r>
      <w:r>
        <w:t>PRDX1-Mangel in Tumoren verstärkte Antitumor-Immunität und verbesserte Immuntherapie-Antworten in Mausmodellen; Liquid Biopsy könnte PRDX1-Spiegel messen. Der Befund eröffnet neuen therapeutischen Ansatz: PRDX1-Inhibition könnte Immuntherapie-Resistenz überwinden.</w:t>
      </w:r>
    </w:p>
    <w:p>
      <w:r>
        <w:rPr>
          <w:b/>
          <w:sz w:val="19"/>
        </w:rPr>
        <w:t xml:space="preserve">Übertragbarkeit: </w:t>
      </w:r>
      <w:r>
        <w:rPr>
          <w:sz w:val="19"/>
        </w:rPr>
        <w:t>Präklinisch; klinischer Weg unklar, aber identifiziertes Targetprotein (PRDX1) ist actionable für Therapeutika-Entwicklung</w:t>
      </w:r>
    </w:p>
    <w:p>
      <w:r>
        <w:rPr>
          <w:color w:val="5A7D3A"/>
          <w:sz w:val="18"/>
        </w:rPr>
        <w:t>https://pubmed.ncbi.nlm.nih.gov/42691162/</w:t>
      </w:r>
    </w:p>
    <w:p>
      <w:pPr>
        <w:pStyle w:val="Heading2"/>
      </w:pPr>
      <w:r>
        <w:t>Real-World-Evidence zur Zulassung von Krebsmedikamenten: 18 Anträge mit Single-Arm-Trials und RWE, 2022–2025</w:t>
      </w:r>
    </w:p>
    <w:p>
      <w:r>
        <w:rPr>
          <w:i/>
          <w:color w:val="666666"/>
          <w:sz w:val="18"/>
        </w:rPr>
        <w:t>Su L et al.  ·  Oncologist  ·  06.08.2026  ·  PMID 42664160</w:t>
      </w:r>
    </w:p>
    <w:p>
      <w:r>
        <w:t>Analyse von 200 Onkologie-Zulassungen (FDA 134, EMA 66) 2022–2025: 18 Anträge (7 FDA, 11 EMA) kombiniert Single-Arm-Trials mit Real-World-Evidence; meist für Hämatologika (53 %), Hälfte auf elektronischen Krankenhauspflichten basiert.</w:t>
      </w:r>
    </w:p>
    <w:p>
      <w:r>
        <w:rPr>
          <w:b/>
        </w:rPr>
        <w:t xml:space="preserve">Ergebnis: </w:t>
      </w:r>
      <w:r>
        <w:t>RWE diente in 2 Fällen als "substantive evidence", ansonsten als kontextuell/supportiv. Häufige Mängel: kleine Fallzahlen, Population-Heterogenität, fehlende Kovariaten, non-kontempore Vergleiche, Post-hoc-Design. Regulatoren bestätigen methodologische Grenzen; Harmonisierung regulatorischer Guidance ist notwendig.</w:t>
      </w:r>
    </w:p>
    <w:p>
      <w:r>
        <w:rPr>
          <w:b/>
          <w:sz w:val="19"/>
        </w:rPr>
        <w:t xml:space="preserve">Übertragbarkeit: </w:t>
      </w:r>
      <w:r>
        <w:rPr>
          <w:sz w:val="19"/>
        </w:rPr>
        <w:t>USA-Zulassungssystem und EMA; Übertrag auf deutsches AMNOG-Verfahren begrenzt – AMNOG verlangt höhere RCT-Standard</w:t>
      </w:r>
    </w:p>
    <w:p>
      <w:r>
        <w:rPr>
          <w:color w:val="5A7D3A"/>
          <w:sz w:val="18"/>
        </w:rPr>
        <w:t>https://pubmed.ncbi.nlm.nih.gov/42664160/</w:t>
      </w:r>
    </w:p>
    <w:p>
      <w:pPr>
        <w:pStyle w:val="Heading2"/>
      </w:pPr>
      <w:r>
        <w:t>Dosiseskalation (80 Gy) bei Hochrisiko-Prostatakarzinom erhöht 10-Jahres-PFS deutlich</w:t>
      </w:r>
    </w:p>
    <w:p>
      <w:r>
        <w:rPr>
          <w:i/>
          <w:color w:val="666666"/>
          <w:sz w:val="18"/>
        </w:rPr>
        <w:t>Hennequin C et al.  ·  Lancet Oncol  ·  Sept. 2026  ·  PMID 42636837</w:t>
      </w:r>
    </w:p>
    <w:p>
      <w:r>
        <w:t>Französische Phase-III-Studie (GETUG-AFU-18) mit 505 Patienten mit hochrisiko Prostatakarzinom: Vergleich externe Strahlentherapie 80 Gy versus 70 Gy, kombiniert mit Langzeit-Androgenentzug, über 9,5 Jahre Median-Follow-up.</w:t>
      </w:r>
    </w:p>
    <w:p>
      <w:r>
        <w:rPr>
          <w:b/>
        </w:rPr>
        <w:t xml:space="preserve">Ergebnis: </w:t>
      </w:r>
      <w:r>
        <w:t>10-Jahres-PFS: 83,6 % (80-Gy-Arm) vs. 72,2 % (70-Gy-Arm), Hazard Ratio 0,56 (95% KI 0,40–0,78, p&lt;0,0001). 5-Jahres-PFS: 91,4 % vs. 88,1 %. Grad-3-Toxizität akut 24–25 %, spät 7–8 % in beiden Gruppen. Sexuelle und urogenitale Nebenwirkungen waren frequent, aber nicht unterschiedlich.</w:t>
      </w:r>
    </w:p>
    <w:p>
      <w:r>
        <w:rPr>
          <w:b/>
          <w:sz w:val="19"/>
        </w:rPr>
        <w:t xml:space="preserve">Übertragbarkeit: </w:t>
      </w:r>
      <w:r>
        <w:rPr>
          <w:sz w:val="19"/>
        </w:rPr>
        <w:t>Frankreich, vergleichbare Versicherungsstruktur; deutsche S3-Leitlinien zu Hochrisiko-Prostata-Strahlentherapie sollten Dosiseskalation prüfen</w:t>
      </w:r>
    </w:p>
    <w:p>
      <w:r>
        <w:rPr>
          <w:color w:val="5A7D3A"/>
          <w:sz w:val="18"/>
        </w:rPr>
        <w:t>https://pubmed.ncbi.nlm.nih.gov/42636837/</w:t>
      </w:r>
    </w:p>
    <w:p>
      <w:pPr>
        <w:pStyle w:val="Heading2"/>
      </w:pPr>
      <w:r>
        <w:t>Adjuvant Alectinib (600 mg b.i.d. × 24 Monate) bei ALK-positivem NSCLC nach Resektion: verträglicher, Lebensqualität erhalten</w:t>
      </w:r>
    </w:p>
    <w:p>
      <w:r>
        <w:rPr>
          <w:i/>
          <w:color w:val="666666"/>
          <w:sz w:val="18"/>
        </w:rPr>
        <w:t>Dziadziuszko R et al.  ·  Lancet Oncol  ·  Sept. 2026  ·  PMID 42636834</w:t>
      </w:r>
    </w:p>
    <w:p>
      <w:r>
        <w:t>Phase-III-ALINA-Studie, 257 Patienten mit reseziertem ALK+NSCLC (Stadium IB–IIIA): Vergleich Adjuvant-Alectinib versus Platinum-basierte Chemotherapie; Nebenwirkungen und Lebensqualität (SF-36v2) werden berichtet; Disease-Free-Survival bereits publiziert.</w:t>
      </w:r>
    </w:p>
    <w:p>
      <w:r>
        <w:rPr>
          <w:b/>
        </w:rPr>
        <w:t xml:space="preserve">Ergebnis: </w:t>
      </w:r>
      <w:r>
        <w:t>Schwergrad 3–4-AE mit Alectinib: 6% (CPK-Anstieg), vs. Chemotherapie 10% (Neutropenie). Therapie-Abbrüche: 5% vs. 13% (signifikant weniger mit Alectinib). SF-36v2-Domänen (Körperschmerz, Rollenfunktion, psychische Gesundheit, soziale Funktion, Vitalität) zeigten klinisch bedeutsame Verbesserung ab Woche 12; Scores blieben über 2 Jahre stabil bei Populationsnorm (50).</w:t>
      </w:r>
    </w:p>
    <w:p>
      <w:r>
        <w:rPr>
          <w:b/>
          <w:sz w:val="19"/>
        </w:rPr>
        <w:t xml:space="preserve">Übertragbarkeit: </w:t>
      </w:r>
      <w:r>
        <w:rPr>
          <w:sz w:val="19"/>
        </w:rPr>
        <w:t>International; Alectinib bereits in Deutschland zugelassen, Verträglichkeitsdaten unterstützen adjuvante Standardisierung</w:t>
      </w:r>
    </w:p>
    <w:p>
      <w:r>
        <w:rPr>
          <w:color w:val="5A7D3A"/>
          <w:sz w:val="18"/>
        </w:rPr>
        <w:t>https://pubmed.ncbi.nlm.nih.gov/42636834/</w:t>
      </w:r>
    </w:p>
    <w:p>
      <w:pPr>
        <w:pStyle w:val="Heading2"/>
      </w:pPr>
      <w:r>
        <w:t>Durvalumab+Tremelimumab+Lenvatinib+TACE versus TACE allein bei Hepatozellulärem Karzinom: PFS-Vorteil</w:t>
      </w:r>
    </w:p>
    <w:p>
      <w:r>
        <w:rPr>
          <w:i/>
          <w:color w:val="666666"/>
          <w:sz w:val="18"/>
        </w:rPr>
        <w:t>Kudo M et al.  ·  Lancet Oncol  ·  Sept. 2026  ·  PMID 42636832</w:t>
      </w:r>
    </w:p>
    <w:p>
      <w:r>
        <w:t>Phase-III-Studie EMERALD-3 mit 760 Patienten (embolisierbar, Child-Pugh A): Vergleich STRIDE (Durvalumab+Tremelimumab) mit oder ohne Lenvatinib, kombiniert mit transarterieller Chemoembolisation (TACE), versus TACE allein.</w:t>
      </w:r>
    </w:p>
    <w:p>
      <w:r>
        <w:rPr>
          <w:b/>
        </w:rPr>
        <w:t xml:space="preserve">Ergebnis: </w:t>
      </w:r>
      <w:r>
        <w:t>Median-PFS (STRIDE+Lenvatinib vs. TACE): 13,0 vs. 9,8 Monate, HR 0,70 (95% KI 0,57–0,86, p=0,0007). Median-OS: 39,5 vs. 34,7 Monate, HR 0,84 (p=0,18, nicht signifikant). Grad-3/4-AE: Hypertonie 12% (STRIDE+Lenvatinib), post-embolization-Syndrom 6% (STRIDE+TACE). 7 Treatment-Related Deaths (2%). STRIDE-Regimen als neuer Standard empfohlen.</w:t>
      </w:r>
    </w:p>
    <w:p>
      <w:r>
        <w:rPr>
          <w:b/>
          <w:sz w:val="19"/>
        </w:rPr>
        <w:t xml:space="preserve">Übertragbarkeit: </w:t>
      </w:r>
      <w:r>
        <w:rPr>
          <w:sz w:val="19"/>
        </w:rPr>
        <w:t>Global, inklusive europäischer Zentren; Zulassung in Genehmigungsverfahren, AMNOG-Bewertung ausstehend</w:t>
      </w:r>
    </w:p>
    <w:p>
      <w:r>
        <w:rPr>
          <w:color w:val="5A7D3A"/>
          <w:sz w:val="18"/>
        </w:rPr>
        <w:t>https://pubmed.ncbi.nlm.nih.gov/42636832/</w:t>
      </w:r>
    </w:p>
    <w:p>
      <w:pPr>
        <w:pStyle w:val="Heading1"/>
      </w:pPr>
      <w:r>
        <w:t>Aufgenommen am 14.09.2026</w:t>
      </w:r>
    </w:p>
    <w:p>
      <w:pPr>
        <w:pStyle w:val="Heading2"/>
      </w:pPr>
      <w:r>
        <w:t>Teclistamab in smolderendem Myelom hocheffektiv: Phase-2-Trial</w:t>
      </w:r>
    </w:p>
    <w:p>
      <w:r>
        <w:rPr>
          <w:i/>
          <w:color w:val="666666"/>
          <w:sz w:val="18"/>
        </w:rPr>
        <w:t>Nadeem O et al.  ·  Nat Med  ·  11.09.2026  ·  PMID 42728379</w:t>
      </w:r>
    </w:p>
    <w:p>
      <w:r>
        <w:t>Randomisierte Phase-2-ImmunoPRISM-Studie verglich Teclistamab (BCMA-Bispecific Antibody, Fixdauer) mit Lenalidomid/Dexamethason bei 59 Patienten mit Hochrisiko-smolderendem multiplem Myelom.</w:t>
      </w:r>
    </w:p>
    <w:p>
      <w:r>
        <w:rPr>
          <w:b/>
        </w:rPr>
        <w:t xml:space="preserve">Ergebnis: </w:t>
      </w:r>
      <w:r>
        <w:t>Teclistamab: komplette Remission 77,8% vs. 0% (Rd); minimale Resterkrankung-Negativität (10-5) 82,2%; 2-Jahres-Progressionsfreies Überleben 92% vs. 49%; Grad 1–2 Zytokine-Freisetzung, kein Grade-3-Infektionsanstieg, keine Todesfälle.</w:t>
      </w:r>
    </w:p>
    <w:p>
      <w:r>
        <w:rPr>
          <w:b/>
          <w:sz w:val="19"/>
        </w:rPr>
        <w:t xml:space="preserve">Übertragbarkeit: </w:t>
      </w:r>
      <w:r>
        <w:rPr>
          <w:sz w:val="19"/>
        </w:rPr>
        <w:t>Phasen-2-Studie mit Potential für Frühintervention; internationale Prüfung, Übertragbarkeit begrenzt bis zur Phase-3-Validierung.</w:t>
      </w:r>
    </w:p>
    <w:p>
      <w:r>
        <w:rPr>
          <w:color w:val="5A7D3A"/>
          <w:sz w:val="18"/>
        </w:rPr>
        <w:t>https://pubmed.ncbi.nlm.nih.gov/42728379/</w:t>
      </w:r>
    </w:p>
    <w:p>
      <w:pPr>
        <w:pStyle w:val="Heading2"/>
      </w:pPr>
      <w:r>
        <w:t>HCC-Management in Asien nach europäischen Leitlinien adaptiert</w:t>
      </w:r>
    </w:p>
    <w:p>
      <w:r>
        <w:rPr>
          <w:i/>
          <w:color w:val="666666"/>
          <w:sz w:val="18"/>
        </w:rPr>
        <w:t>Tan CK et al.  ·  ESMO Open  ·  09.07.2026  ·  PMID 42660571</w:t>
      </w:r>
    </w:p>
    <w:p>
      <w:r>
        <w:t>Pan-asiatische Expertengruppe adaptierte ESMO-Leitlinien zu Diagnose, Therapie und Nachsorge des Hepatozellulären Karzinoms für zehn asiatische Länder.</w:t>
      </w:r>
    </w:p>
    <w:p>
      <w:r>
        <w:rPr>
          <w:b/>
        </w:rPr>
        <w:t xml:space="preserve">Ergebnis: </w:t>
      </w:r>
      <w:r>
        <w:t>Konsens-Richtlinie mit regionsspezifischen Empfehlungen verabschiedet; Fokus auf harmonisierte Behandlung und Zugang trotz regionaler Unterschiede in Arzneimittelzulassung und Erstattung.</w:t>
      </w:r>
    </w:p>
    <w:p>
      <w:r>
        <w:rPr>
          <w:b/>
          <w:sz w:val="19"/>
        </w:rPr>
        <w:t xml:space="preserve">Übertragbarkeit: </w:t>
      </w:r>
      <w:r>
        <w:rPr>
          <w:sz w:val="19"/>
        </w:rPr>
        <w:t>Internationale Leitlinie mit europäischen Standards, aber auch asiatischen Besonderheiten; teilweise auf deutsches System übertragbar.</w:t>
      </w:r>
    </w:p>
    <w:p>
      <w:r>
        <w:rPr>
          <w:color w:val="5A7D3A"/>
          <w:sz w:val="18"/>
        </w:rPr>
        <w:t>https://pubmed.ncbi.nlm.nih.gov/42660571/</w:t>
      </w:r>
    </w:p>
    <w:p>
      <w:pPr>
        <w:pStyle w:val="Heading2"/>
      </w:pPr>
      <w:r>
        <w:t>Epigenetisches Altern in Dickdarmgewebe zeigt Lebensstilfaktoren-Einfluss</w:t>
      </w:r>
    </w:p>
    <w:p>
      <w:r>
        <w:rPr>
          <w:i/>
          <w:color w:val="666666"/>
          <w:sz w:val="18"/>
        </w:rPr>
        <w:t>Hardikar S et al.  ·  J Natl Cancer Inst  ·  25.08.2026  ·  PMID 42640567</w:t>
      </w:r>
    </w:p>
    <w:p>
      <w:r>
        <w:t>Analyse von epigenetischen Alterungsmodellen (Horvath, Hannum, Zhang u.a.) in Kolonialgewebe von 554 Proben (96 normal, 245 angrenzend, 208 Tumore) zur Untersuchung von Zusammenhängen mit Lebensstilfaktoren und Krebsentwicklung.</w:t>
      </w:r>
    </w:p>
    <w:p>
      <w:r>
        <w:rPr>
          <w:b/>
        </w:rPr>
        <w:t xml:space="preserve">Ergebnis: </w:t>
      </w:r>
      <w:r>
        <w:t>Horvath-Modell zeigte beste Korrelation mit chronologischem Alter (r &gt;0,70) in normalem Gewebe; signifikante Alters-Beschleunigung in tumoren vs. normal/angrenzend bei allen Modellen; körperliche Aktivität (PhenoAge), Rauchen (GrimAge) und Alkoholkonsum (Horvath, Mitose-Uhren) assoziiert mit epigenetischem Altern in angrenzender Mukosa.</w:t>
      </w:r>
    </w:p>
    <w:p>
      <w:r>
        <w:rPr>
          <w:b/>
          <w:sz w:val="19"/>
        </w:rPr>
        <w:t xml:space="preserve">Übertragbarkeit: </w:t>
      </w:r>
      <w:r>
        <w:rPr>
          <w:sz w:val="19"/>
        </w:rPr>
        <w:t>USA/deutsche Zentren, diverse Populationen; Grundlagenforschung zu Risikostratifikation.</w:t>
      </w:r>
    </w:p>
    <w:p>
      <w:r>
        <w:rPr>
          <w:color w:val="5A7D3A"/>
          <w:sz w:val="18"/>
        </w:rPr>
        <w:t>https://pubmed.ncbi.nlm.nih.gov/42640567/</w:t>
      </w:r>
    </w:p>
    <w:p>
      <w:pPr>
        <w:pStyle w:val="Heading2"/>
      </w:pPr>
      <w:r>
        <w:t>Tebentafusp gegen Uveales Melanom im UK-Programm wirksam wie Phase-3-Daten</w:t>
      </w:r>
    </w:p>
    <w:p>
      <w:r>
        <w:rPr>
          <w:i/>
          <w:color w:val="666666"/>
          <w:sz w:val="18"/>
        </w:rPr>
        <w:t>Joseph M et al.  ·  Oncologist  ·  09.09.2026  ·  PMID 42640561</w:t>
      </w:r>
    </w:p>
    <w:p>
      <w:r>
        <w:t>Retrospektive Real-World-Effektivitäts- und Toxizitäts-Analyse der UK Expanded Access Programme (EAP) mit 88 Patienten mit metastasiertem uvealen Melanom, behandelt Juli 2021–Juni 2023.</w:t>
      </w:r>
    </w:p>
    <w:p>
      <w:r>
        <w:rPr>
          <w:b/>
        </w:rPr>
        <w:t xml:space="preserve">Ergebnis: </w:t>
      </w:r>
      <w:r>
        <w:t>Medianes Gesamtüberleben 21 Monate (95%-KI 17-NR); medianes progressionsfreies Überleben 2,76 Monate (95%-KI 2,53–3,22); 12-Monats-Überlebenrate 75% (95%-KI 66,1–85,6); niedrigere LDH und niedrigere Leberlastung tendierten zu besserem Überleben; LDH ≥2× obere Normgrenze zeigte sehr schlechte Prognose; keine Grade ≥3 Toxizität nach Dosis 5.</w:t>
      </w:r>
    </w:p>
    <w:p>
      <w:r>
        <w:rPr>
          <w:b/>
          <w:sz w:val="19"/>
        </w:rPr>
        <w:t xml:space="preserve">Übertragbarkeit: </w:t>
      </w:r>
      <w:r>
        <w:rPr>
          <w:sz w:val="19"/>
        </w:rPr>
        <w:t>Britisches NHS-System, vergleichbar mit deutschem, Real-World-Evidenz für Kostenträger relevant.</w:t>
      </w:r>
    </w:p>
    <w:p>
      <w:r>
        <w:rPr>
          <w:color w:val="5A7D3A"/>
          <w:sz w:val="18"/>
        </w:rPr>
        <w:t>https://pubmed.ncbi.nlm.nih.gov/42640561/</w:t>
      </w:r>
    </w:p>
    <w:p>
      <w:pPr>
        <w:pStyle w:val="Heading2"/>
      </w:pPr>
      <w:r>
        <w:t>Daratumumab+Lenalidomid verlängert Überleben im älteren Myelom dauerhaft</w:t>
      </w:r>
    </w:p>
    <w:p>
      <w:r>
        <w:rPr>
          <w:i/>
          <w:color w:val="666666"/>
          <w:sz w:val="18"/>
        </w:rPr>
        <w:t>Facon T et al.  ·  Leukemia  ·  24.08.2026  ·  PMID 42637879</w:t>
      </w:r>
    </w:p>
    <w:p>
      <w:r>
        <w:t>Finale Analyse der MAIA-Studie: Randomisierte Phase-III-Prüfung zu Daratumumab+Lenalidomid/Dexamethason (D-Rd) vs. Lenalidomid/Dexamethason (Rd) bei 737 nicht-transplant-fähigen Patienten mit neu diagnostiziertem multiplem Myelom.</w:t>
      </w:r>
    </w:p>
    <w:p>
      <w:r>
        <w:rPr>
          <w:b/>
        </w:rPr>
        <w:t xml:space="preserve">Ergebnis: </w:t>
      </w:r>
      <w:r>
        <w:t>Medianes Gesamtüberleben: 90,3 Monate (D-Rd) vs. 64,1 Monate (Rd), HR 0,67 (95%-KI 0,55–0,82); 7-Jahres-Überleben 53,1% vs. 39,3%; mediane Zeit bis Folgetherapie nicht erreicht vs. 42,4 Monate. Follow-up &gt;7 Jahre.</w:t>
      </w:r>
    </w:p>
    <w:p>
      <w:r>
        <w:rPr>
          <w:b/>
          <w:sz w:val="19"/>
        </w:rPr>
        <w:t xml:space="preserve">Übertragbarkeit: </w:t>
      </w:r>
      <w:r>
        <w:rPr>
          <w:sz w:val="19"/>
        </w:rPr>
        <w:t>Multinationale Studie; Basis für Leitlinienstandard bei älteren Patienten, in Deutschland anwendbar.</w:t>
      </w:r>
    </w:p>
    <w:p>
      <w:r>
        <w:rPr>
          <w:color w:val="5A7D3A"/>
          <w:sz w:val="18"/>
        </w:rPr>
        <w:t>https://pubmed.ncbi.nlm.nih.gov/42637879/</w:t>
      </w:r>
    </w:p>
    <w:p>
      <w:pPr>
        <w:pStyle w:val="Heading2"/>
      </w:pPr>
      <w:r>
        <w:t>Olaparib-Erhaltung bei BRCA-mutiertem Brustkrebs: 6-Jahres-Vorteile halten an</w:t>
      </w:r>
    </w:p>
    <w:p>
      <w:r>
        <w:rPr>
          <w:i/>
          <w:color w:val="666666"/>
          <w:sz w:val="18"/>
        </w:rPr>
        <w:t>Garber JE et al.  ·  Ann Oncol  ·  24.08.2026  ·  PMID 42636977</w:t>
      </w:r>
    </w:p>
    <w:p>
      <w:r>
        <w:t>Dritte geplante Zwischenanalyse der randomisierten Phase-III-OlympiA-Studie zu adjuvantem Olaparib (PARP-Inhibitor) versus Placebo nach Chemotherapie bei 1.836 Patientinnen mit Keimbahn-BRCA-Mutation und HER2-negativem Hochrisiko-Brustkrebs.</w:t>
      </w:r>
    </w:p>
    <w:p>
      <w:r>
        <w:rPr>
          <w:b/>
        </w:rPr>
        <w:t xml:space="preserve">Ergebnis: </w:t>
      </w:r>
      <w:r>
        <w:t>Bei 6,1 Jahren medianer Nachbeobachtung: Invasives rezidivfreies Überleben (HR 0,65; 95%-KI 0,53–0,78), Gesamtüberleben (HR 0,72; 95%-KI 0,56–0,93); 6-Jahres-Überleben 87,5% vs. 83,2%; keine neuen Sicherheitssignale, kein erhöhtes MDS/AML-Risiko (0,4% vs. 0,7%).</w:t>
      </w:r>
    </w:p>
    <w:p>
      <w:r>
        <w:rPr>
          <w:b/>
          <w:sz w:val="19"/>
        </w:rPr>
        <w:t xml:space="preserve">Übertragbarkeit: </w:t>
      </w:r>
      <w:r>
        <w:rPr>
          <w:sz w:val="19"/>
        </w:rPr>
        <w:t>Multinationale Studie mit europäischen und deutschen Zentren; Befund ändert Leitlinienempfehlungen.</w:t>
      </w:r>
    </w:p>
    <w:p>
      <w:r>
        <w:rPr>
          <w:color w:val="5A7D3A"/>
          <w:sz w:val="18"/>
        </w:rPr>
        <w:t>https://pubmed.ncbi.nlm.nih.gov/42636977/</w:t>
      </w:r>
    </w:p>
    <w:p>
      <w:pPr>
        <w:pStyle w:val="Heading1"/>
      </w:pPr>
      <w:r>
        <w:t>Aufgenommen am 13.09.2026</w:t>
      </w:r>
    </w:p>
    <w:p>
      <w:pPr>
        <w:pStyle w:val="Heading2"/>
      </w:pPr>
      <w:r>
        <w:t>Genomische Alterationen in Hirn-Metastasen von Brustkrebs: 76,8 % haben therapeutisch nutzbare Targets</w:t>
      </w:r>
    </w:p>
    <w:p>
      <w:r>
        <w:rPr>
          <w:i/>
          <w:color w:val="666666"/>
          <w:sz w:val="18"/>
        </w:rPr>
        <w:t>Griguolo G et al.  ·  ESMO Open  ·  11.09.2026  ·  PMID 42727421</w:t>
      </w:r>
    </w:p>
    <w:p>
      <w:r>
        <w:t>Whole-exome-Sequenzierung von 56 Hirn-Metastasen-Proben aus Brustkrebs-Patienten zur Identifikation klinisch umsetzbarer genomischer Alterationen nach ESCAT-Kriterien.</w:t>
      </w:r>
    </w:p>
    <w:p>
      <w:r>
        <w:rPr>
          <w:b/>
        </w:rPr>
        <w:t xml:space="preserve">Ergebnis: </w:t>
      </w:r>
      <w:r>
        <w:t>76,8 % zeigten ESCAT-I/II-Alterationen; häufigste waren DNA-Reparatur-Gene (BRCA1/2/PALB2: 53,6 %); biallele Inaktivierung bei 19,6 % (höher bei HER2-negativ: 26 % HR-neg/HER2-neg, 21 % HR-pos/HER2-neg); PIK3CA/AKT1/PTEN-Alterationen in 48,2 %; kein ESR1 in HR-positiven; hotspot PIK3CA bei HER2-positivem assoziiert mit schlechterer Prognose.</w:t>
      </w:r>
    </w:p>
    <w:p>
      <w:r>
        <w:rPr>
          <w:b/>
          <w:sz w:val="19"/>
        </w:rPr>
        <w:t xml:space="preserve">Übertragbarkeit: </w:t>
      </w:r>
      <w:r>
        <w:rPr>
          <w:sz w:val="19"/>
        </w:rPr>
        <w:t>Italienisch-französische Kooperation, ESCAT-Klassifikation europäisch – direkt auf deutsches Targeting-System übertragbar.</w:t>
      </w:r>
    </w:p>
    <w:p>
      <w:r>
        <w:rPr>
          <w:color w:val="5A7D3A"/>
          <w:sz w:val="18"/>
        </w:rPr>
        <w:t>https://pubmed.ncbi.nlm.nih.gov/42727421/</w:t>
      </w:r>
    </w:p>
    <w:p>
      <w:pPr>
        <w:pStyle w:val="Heading2"/>
      </w:pPr>
      <w:r>
        <w:t>Hautkrebs-Bestrahlungen um 79% gestiegen: Trends der Radioonkologie 2015–2022</w:t>
      </w:r>
    </w:p>
    <w:p>
      <w:r>
        <w:rPr>
          <w:i/>
          <w:color w:val="666666"/>
          <w:sz w:val="18"/>
        </w:rPr>
        <w:t>Diefenhardt M et al.  ·  Strahlenther Onkol  ·  11.09.2026  ·  PMID 42726226</w:t>
      </w:r>
    </w:p>
    <w:p>
      <w:r>
        <w:t>Retrospektive Analyse von 8.842 Patienten in einer deutschen Uniklinik-Radiotherapie zwischen 2015 und 2022 zu Trends in Tumorentitäten, Alter und Behandlungsabständen.</w:t>
      </w:r>
    </w:p>
    <w:p>
      <w:r>
        <w:rPr>
          <w:b/>
        </w:rPr>
        <w:t xml:space="preserve">Ergebnis: </w:t>
      </w:r>
      <w:r>
        <w:t>Hautkrebs-Bestrahlungen stiegen um 79 %, Prostata um 10 %, Medianalter von 62 auf 64 Jahre; 47 % der Patienten kamen aus 10-km-Radius; Pandemie 2020-2021 führte zu keinen signifikanten Veränderungen in Patientenzahlen oder Tumortyp-Verteilung.</w:t>
      </w:r>
    </w:p>
    <w:p>
      <w:r>
        <w:rPr>
          <w:b/>
          <w:sz w:val="19"/>
        </w:rPr>
        <w:t xml:space="preserve">Übertragbarkeit: </w:t>
      </w:r>
      <w:r>
        <w:rPr>
          <w:sz w:val="19"/>
        </w:rPr>
        <w:t>Deutsche Uniklinik-Daten, direkt auf deutsches Radiotherapie-Versorgungssystem übertragbar.</w:t>
      </w:r>
    </w:p>
    <w:p>
      <w:r>
        <w:rPr>
          <w:color w:val="5A7D3A"/>
          <w:sz w:val="18"/>
        </w:rPr>
        <w:t>https://pubmed.ncbi.nlm.nih.gov/42726226/</w:t>
      </w:r>
    </w:p>
    <w:p>
      <w:pPr>
        <w:pStyle w:val="Heading2"/>
      </w:pPr>
      <w:r>
        <w:t>Cell-free DNA in Großzelliger B-Zell-Lymphom: technische Anforderungen für Minimal-Residual-Disease-Monitoring</w:t>
      </w:r>
    </w:p>
    <w:p>
      <w:r>
        <w:rPr>
          <w:i/>
          <w:color w:val="666666"/>
          <w:sz w:val="18"/>
        </w:rPr>
        <w:t>Krupka JA et al.  ·  Blood  ·  03.09.2026  ·  PMID 42691013</w:t>
      </w:r>
    </w:p>
    <w:p>
      <w:r>
        <w:t>Narrative Übersichtsarbeit zu ctDNA-Einsatz im diffusen großzelligen B-Zell-Lymphom mit Fokus auf technische Herausforderungen, Assay-Design und klinische Implementierung.</w:t>
      </w:r>
    </w:p>
    <w:p>
      <w:r>
        <w:rPr>
          <w:b/>
        </w:rPr>
        <w:t xml:space="preserve">Ergebnis: </w:t>
      </w:r>
      <w:r>
        <w:t>Tumor-informierte Assays mit mehreren genetischen Markern verbessern Sensitivität des Monitoring substanziell; Standardisierung und prospektive Validierung sind notwendig für Routineimplementierung; niedrige ctDNA-Häufigkeit und Unterscheidung von niedrigen Allel-Fraktionen bleiben Hauptprobleme.</w:t>
      </w:r>
    </w:p>
    <w:p>
      <w:r>
        <w:rPr>
          <w:b/>
          <w:sz w:val="19"/>
        </w:rPr>
        <w:t xml:space="preserve">Übertragbarkeit: </w:t>
      </w:r>
      <w:r>
        <w:rPr>
          <w:sz w:val="19"/>
        </w:rPr>
        <w:t>Technisches Review ohne spezifische Zahlen, eher Empfehlungscharakter; europäische Kontributoren.</w:t>
      </w:r>
    </w:p>
    <w:p>
      <w:r>
        <w:rPr>
          <w:color w:val="5A7D3A"/>
          <w:sz w:val="18"/>
        </w:rPr>
        <w:t>https://pubmed.ncbi.nlm.nih.gov/42691013/</w:t>
      </w:r>
    </w:p>
    <w:p>
      <w:pPr>
        <w:pStyle w:val="Heading2"/>
      </w:pPr>
      <w:r>
        <w:t>Tumor-Protein ADAMTSL4 treibt Kachexie durch TGFβ-Aktivierung – therapeutisches Ziel identifiziert</w:t>
      </w:r>
    </w:p>
    <w:p>
      <w:r>
        <w:rPr>
          <w:i/>
          <w:color w:val="666666"/>
          <w:sz w:val="18"/>
        </w:rPr>
        <w:t>Machado J et al.  ·  Cancer Discov  ·  01.09.2026  ·  PMID 42678278</w:t>
      </w:r>
    </w:p>
    <w:p>
      <w:r>
        <w:t>Mechanistische Studie in Modellen und Patienten mit kolorektalem und Lungenkarzinom zur Rolle von Tumor-Sekretion von ADAMTSL4 in der Pathogenese von Krebs-Kachexie.</w:t>
      </w:r>
    </w:p>
    <w:p>
      <w:r>
        <w:rPr>
          <w:b/>
        </w:rPr>
        <w:t xml:space="preserve">Ergebnis: </w:t>
      </w:r>
      <w:r>
        <w:t>ADAMTSL4-Überexpression machte nicht-kachektische Tumoren zu kachektischen; ADAMTSL4-Knockout reduzierte Muskelatrophie-Signaturen und Kachexie-Schweregrad; erhöhte zirkulierende ADAMTSL4-Level waren mit TGFβ-getriebener Muskelatrophie in Kachexie-Patienten assoziiert; ADAMTSL4-Blockade könnte selektive Therapie ohne systemische TGFβ-Blockade ermöglichen.</w:t>
      </w:r>
    </w:p>
    <w:p>
      <w:r>
        <w:rPr>
          <w:b/>
          <w:sz w:val="19"/>
        </w:rPr>
        <w:t xml:space="preserve">Übertragbarkeit: </w:t>
      </w:r>
      <w:r>
        <w:rPr>
          <w:sz w:val="19"/>
        </w:rPr>
        <w:t>USA-Studie mit deutschen und internationalen Zentren; präklinisches Modell mit klinischer Validierung – Weg zur Therapeutik erkennbar.</w:t>
      </w:r>
    </w:p>
    <w:p>
      <w:r>
        <w:rPr>
          <w:color w:val="5A7D3A"/>
          <w:sz w:val="18"/>
        </w:rPr>
        <w:t>https://pubmed.ncbi.nlm.nih.gov/42678278/</w:t>
      </w:r>
    </w:p>
    <w:p>
      <w:pPr>
        <w:pStyle w:val="Heading2"/>
      </w:pPr>
      <w:r>
        <w:t>Durvalumab perioperativ bei resektablem NSCLC: AEGEAN-Phase-III-Studie verbessert ereignisfreies Überleben</w:t>
      </w:r>
    </w:p>
    <w:p>
      <w:r>
        <w:rPr>
          <w:i/>
          <w:color w:val="666666"/>
          <w:sz w:val="18"/>
        </w:rPr>
        <w:t>Heymach JV et al.  ·  J Clin Oncol  ·  28.08.2026  ·  PMID 42664473</w:t>
      </w:r>
    </w:p>
    <w:p>
      <w:r>
        <w:t>Phase-III-Studie mit 740 Patienten zu neoadjuvanter Chemotherapie plus Durvalumab oder Placebo vor Operation und anschließender adjuvanter Durvalumab/Placebo-Therapie beim resektablen NSCLC Stadium II-IIIB.</w:t>
      </w:r>
    </w:p>
    <w:p>
      <w:r>
        <w:rPr>
          <w:b/>
        </w:rPr>
        <w:t xml:space="preserve">Ergebnis: </w:t>
      </w:r>
      <w:r>
        <w:t>Durvalumab reduzierte ereignisfreies Überleben (HR 0,69; 95%-KI 0,55–0,88), Zahlentrend für progressionsfreies Überleben (HR 0,66) und Gesamtüberleben (HR 0,89); Grad-3/4-Nebenwirkungen unter adjuvanter Therapie: 15,4 % vs. 10,6 % Placebo; Sicherheitsprofil konsistent mit Einzelsubstanzen.</w:t>
      </w:r>
    </w:p>
    <w:p>
      <w:r>
        <w:rPr>
          <w:b/>
          <w:sz w:val="19"/>
        </w:rPr>
        <w:t xml:space="preserve">Übertragbarkeit: </w:t>
      </w:r>
      <w:r>
        <w:rPr>
          <w:sz w:val="19"/>
        </w:rPr>
        <w:t>Internationale Phase-III-Studie mit europäischen Zentren; praxisverändernd bei AMNOG und Zulassung.</w:t>
      </w:r>
    </w:p>
    <w:p>
      <w:r>
        <w:rPr>
          <w:color w:val="5A7D3A"/>
          <w:sz w:val="18"/>
        </w:rPr>
        <w:t>https://pubmed.ncbi.nlm.nih.gov/42664473/</w:t>
      </w:r>
    </w:p>
    <w:p>
      <w:pPr>
        <w:pStyle w:val="Heading2"/>
      </w:pPr>
      <w:r>
        <w:t>Dynamisches Prognose-Modell CIRI2-CLL für Rezidivrisiko nach limitierter Therapie verbessert Vorhersage um bis zu 37 %</w:t>
      </w:r>
    </w:p>
    <w:p>
      <w:r>
        <w:rPr>
          <w:i/>
          <w:color w:val="666666"/>
          <w:sz w:val="18"/>
        </w:rPr>
        <w:t>Al-Sawaf O et al.  ·  J Clin Oncol  ·  27.08.2026  ·  PMID 42659576</w:t>
      </w:r>
    </w:p>
    <w:p>
      <w:r>
        <w:t>Validierungsstudie eines verfeinerten kontinuierlichen Risikoindex (CIRI2-CLL) zur Prognosebestimmung nach limitierter Behandlung der chronischen lymphatischen Leukämie mit Minimal-Residual-Disease-Status.</w:t>
      </w:r>
    </w:p>
    <w:p>
      <w:r>
        <w:rPr>
          <w:b/>
        </w:rPr>
        <w:t xml:space="preserve">Ergebnis: </w:t>
      </w:r>
      <w:r>
        <w:t>CIRI2-CLL zeigte gute Kalibrierung (ca. 5 % Differenz zwischen beobachteter und vorhergesagter Ereigniswahrscheinlichkeit); C-Statistik 0,82–0,98 an allen Zeitpunkten; 14–37 % Verbesserung der PFS-Vorhersage gegenüber MRD und CLL-IPI; 3-Jahres-PFS: 100,0 % (niedrig), 70,2 % (mittel), 10,8 % (hoch); Modell frei verfügbar auf Stanford-Plattform für individualisierte Therapieentscheidung.</w:t>
      </w:r>
    </w:p>
    <w:p>
      <w:r>
        <w:rPr>
          <w:b/>
          <w:sz w:val="19"/>
        </w:rPr>
        <w:t xml:space="preserve">Übertragbarkeit: </w:t>
      </w:r>
      <w:r>
        <w:rPr>
          <w:sz w:val="19"/>
        </w:rPr>
        <w:t>Deutsche CLL-Studiengruppe führend; validiert in europäischen und internationalen Kohorten.</w:t>
      </w:r>
    </w:p>
    <w:p>
      <w:r>
        <w:rPr>
          <w:color w:val="5A7D3A"/>
          <w:sz w:val="18"/>
        </w:rPr>
        <w:t>https://pubmed.ncbi.nlm.nih.gov/42659576/</w:t>
      </w:r>
    </w:p>
    <w:p>
      <w:pPr>
        <w:pStyle w:val="Heading1"/>
      </w:pPr>
      <w:r>
        <w:t>Aufgenommen am 12.09.2026</w:t>
      </w:r>
    </w:p>
    <w:p>
      <w:pPr>
        <w:pStyle w:val="Heading2"/>
      </w:pPr>
      <w:r>
        <w:t>PRO-Symptommonitoring bei Lungenkrebspatienten verlängert Gesamtüberleben um 5 Monate</w:t>
      </w:r>
    </w:p>
    <w:p>
      <w:r>
        <w:rPr>
          <w:i/>
          <w:color w:val="666666"/>
          <w:sz w:val="18"/>
        </w:rPr>
        <w:t>Hassing MJ et al.  ·  Lancet Oncol  ·  11.09.2026  ·  PMID 42727592</w:t>
      </w:r>
    </w:p>
    <w:p>
      <w:r>
        <w:t>Randomisierte niederländische Studie (14 medizinische Zentren, Stepped-Wedge-Design) zur Wirkung wöchentlicher Online-Symptomselbstberichte auf Überleben bei Patienten mit Lung Cancer im Stadium I-IV unter Behandlung.</w:t>
      </w:r>
    </w:p>
    <w:p>
      <w:r>
        <w:rPr>
          <w:b/>
        </w:rPr>
        <w:t xml:space="preserve">Ergebnis: </w:t>
      </w:r>
      <w:r>
        <w:t>Bei 446 Patienten (median 50 Monate Follow-up): Median Overall Survival in der Intervention 26 Monate versus Kontrolle 21 Monate (Hazard Ratio 0,80; 95%-CI 0,63–1,00; p=0,049). Progression-Free Survival zeigte keinen signifikanten Unterschied (HR 0,86; p=0,18). Praxisrelevant: strukturierte Patient-Reported Outcomes ermöglichen 5-Monate-Gewinn bei aktuellen Therapien.</w:t>
      </w:r>
    </w:p>
    <w:p>
      <w:r>
        <w:rPr>
          <w:b/>
          <w:sz w:val="19"/>
        </w:rPr>
        <w:t xml:space="preserve">Übertragbarkeit: </w:t>
      </w:r>
      <w:r>
        <w:rPr>
          <w:sz w:val="19"/>
        </w:rPr>
        <w:t>Niederländische Klinikdaten mit Versorgungsauftrag ähnlich Deutschland</w:t>
      </w:r>
    </w:p>
    <w:p>
      <w:r>
        <w:rPr>
          <w:color w:val="5A7D3A"/>
          <w:sz w:val="18"/>
        </w:rPr>
        <w:t>https://pubmed.ncbi.nlm.nih.gov/42727592/</w:t>
      </w:r>
    </w:p>
    <w:p>
      <w:pPr>
        <w:pStyle w:val="Heading2"/>
      </w:pPr>
      <w:r>
        <w:t>Trastuzumab Botidotin gegenüber Trastuzumab Emtansine: 11,1 vs. 4,4 Monate progressionsfreies Überleben</w:t>
      </w:r>
    </w:p>
    <w:p>
      <w:r>
        <w:rPr>
          <w:i/>
          <w:color w:val="666666"/>
          <w:sz w:val="18"/>
        </w:rPr>
        <w:t>Zhang J et al.  ·  J Clin Oncol  ·  11.09.2026  ·  PMID 42727044</w:t>
      </w:r>
    </w:p>
    <w:p>
      <w:r>
        <w:t>Phase-III-Studie (365 Patienten, China, 57 Zentren) mit randomisierter Direktvergleich zweier HER2-gerichteter Antikörper-Wirkstoff-Konjugate bei vorbehandeltem HER2-positivem metastasiertem Brustkrebs.</w:t>
      </w:r>
    </w:p>
    <w:p>
      <w:r>
        <w:rPr>
          <w:b/>
        </w:rPr>
        <w:t xml:space="preserve">Ergebnis: </w:t>
      </w:r>
      <w:r>
        <w:t>Trastuzumab Botidotin vs. Trastuzumab Emtansine: medianes Progression-Free Survival 11,1 vs. 4,4 Monate (HR 0,39; p&lt;0,0001); Objective Response Rate 76,9% vs. 53,0%. Grade ≥3 unerwünschte Ereignisse 69,8% vs. 63,7%, höchste Inzidenz bei Augenoberflächen-Toxizität (47,7%), aber meist reversibel.</w:t>
      </w:r>
    </w:p>
    <w:p>
      <w:r>
        <w:rPr>
          <w:b/>
          <w:sz w:val="19"/>
        </w:rPr>
        <w:t xml:space="preserve">Übertragbarkeit: </w:t>
      </w:r>
      <w:r>
        <w:rPr>
          <w:sz w:val="19"/>
        </w:rPr>
        <w:t>China-Studie, Botidotin hat EU-Zulassung; Übertragbarkeit für deutsche Zentren gegeben</w:t>
      </w:r>
    </w:p>
    <w:p>
      <w:r>
        <w:rPr>
          <w:color w:val="5A7D3A"/>
          <w:sz w:val="18"/>
        </w:rPr>
        <w:t>https://pubmed.ncbi.nlm.nih.gov/42727044/</w:t>
      </w:r>
    </w:p>
    <w:p>
      <w:pPr>
        <w:pStyle w:val="Heading2"/>
      </w:pPr>
      <w:r>
        <w:t>Lokale Therapie + Immune Checkpoint Inhibitor bei rezidiviertem/metastasiertem Nasopharynxkarzinom: 30,5 vs. 16,8 Monate PFS</w:t>
      </w:r>
    </w:p>
    <w:p>
      <w:r>
        <w:rPr>
          <w:i/>
          <w:color w:val="666666"/>
          <w:sz w:val="18"/>
        </w:rPr>
        <w:t>Chen X et al.  ·  Eur J Cancer  ·  27.08.2026  ·  PMID 42721861</w:t>
      </w:r>
    </w:p>
    <w:p>
      <w:r>
        <w:t>Retrospektive chinesische Studie (223 Patienten, Fudan University Shanghai) zum Vergleich von ICI allein versus lokale Therapie kombiniert mit ICI (LOCI) bei rezidiviertem oder metastasiertem Nasopharynxkarzinom; IPTW und Propensity-Score-Matching zur Confounding-Kontrolle.</w:t>
      </w:r>
    </w:p>
    <w:p>
      <w:r>
        <w:rPr>
          <w:b/>
        </w:rPr>
        <w:t xml:space="preserve">Ergebnis: </w:t>
      </w:r>
      <w:r>
        <w:t>Median Progression-Free Survival mit LOCI 30,53 Monate vs. ICI allein 16,77 Monate (HR 0,524; 95%-CI 0,339–0,785; log-rank p=0,0014). Benefit nach PSM und IPTW-Adjustment bestätigt. Bei lokalem Rezidiv oder Nodusbefall (LRR-NPC): verbessertes Distant-Metastasis-Free-Survival (HR 0,437). Bei Oligometastasen (≤3 Läsionen) ebenfalls PFS-Vorteil (HR 0,458; p=0,0416).</w:t>
      </w:r>
    </w:p>
    <w:p>
      <w:r>
        <w:rPr>
          <w:b/>
          <w:sz w:val="19"/>
        </w:rPr>
        <w:t xml:space="preserve">Übertragbarkeit: </w:t>
      </w:r>
      <w:r>
        <w:rPr>
          <w:sz w:val="19"/>
        </w:rPr>
        <w:t>China, Strahlentherapie mit ICI-Standard auch europäisch; Real-World-Ansatz übertragbar</w:t>
      </w:r>
    </w:p>
    <w:p>
      <w:r>
        <w:rPr>
          <w:color w:val="5A7D3A"/>
          <w:sz w:val="18"/>
        </w:rPr>
        <w:t>https://pubmed.ncbi.nlm.nih.gov/42721861/</w:t>
      </w:r>
    </w:p>
    <w:p>
      <w:pPr>
        <w:pStyle w:val="Heading2"/>
      </w:pPr>
      <w:r>
        <w:t>EORTC QLQ-CHI: erste Lebensqualitätsskala speziell für Kinder mit Krebs (8–14 Jahre)</w:t>
      </w:r>
    </w:p>
    <w:p>
      <w:r>
        <w:rPr>
          <w:i/>
          <w:color w:val="666666"/>
          <w:sz w:val="18"/>
        </w:rPr>
        <w:t>Vetrano C et al.  ·  Eur J Cancer  ·  05.10.2026  ·  PMID 42685381</w:t>
      </w:r>
    </w:p>
    <w:p>
      <w:r>
        <w:t>Mixed-Methods-Studie (Phasen I/II) zur Entwicklung eines EORTC-Fragebogenmoduls; 47 Kinder, 45 Eltern, 22 Fachleute aus 6 Ländern; Leitlinien der EORTC Quality-of-Life Group.</w:t>
      </w:r>
    </w:p>
    <w:p>
      <w:r>
        <w:rPr>
          <w:b/>
        </w:rPr>
        <w:t xml:space="preserve">Ergebnis: </w:t>
      </w:r>
      <w:r>
        <w:t>57 Schlüsselprobleme identifiziert aus 1.200+ initial bewerteten Aspekten (Vergleich Kinder-, Eltern- und Fachperspektive). Kinder präferierten 4 Antwortoptionen (70,0%) und kürzere Recall-Periode (43,3%). Fragebogen mit 50 Items in zwei Skalenbereiche eingeteilt: symptomorientiert und psychosozial. Nächste Schritte: Pilottestung (Phase III/IV), Validierung.</w:t>
      </w:r>
    </w:p>
    <w:p>
      <w:r>
        <w:rPr>
          <w:b/>
          <w:sz w:val="19"/>
        </w:rPr>
        <w:t xml:space="preserve">Übertragbarkeit: </w:t>
      </w:r>
      <w:r>
        <w:rPr>
          <w:sz w:val="19"/>
        </w:rPr>
        <w:t>Europäisches Netzwerk (EORTC), Grundlage für standardisierte Erfassung in Zentren</w:t>
      </w:r>
    </w:p>
    <w:p>
      <w:r>
        <w:rPr>
          <w:color w:val="5A7D3A"/>
          <w:sz w:val="18"/>
        </w:rPr>
        <w:t>https://pubmed.ncbi.nlm.nih.gov/42685381/</w:t>
      </w:r>
    </w:p>
    <w:p>
      <w:pPr>
        <w:pStyle w:val="Heading2"/>
      </w:pPr>
      <w:r>
        <w:t>Tislelizumab + Chemotherapie bei Ösophaguskarzinom: 45-Monate-Überleben</w:t>
      </w:r>
    </w:p>
    <w:p>
      <w:r>
        <w:rPr>
          <w:i/>
          <w:color w:val="666666"/>
          <w:sz w:val="18"/>
        </w:rPr>
        <w:t>Tougeron D et al.  ·  ESMO Open  ·  27.08.2026  ·  PMID 42659894</w:t>
      </w:r>
    </w:p>
    <w:p>
      <w:r>
        <w:t>Randomisierte Phase-III-Studie (RATIONALE-306) mit 649 Patienten weltweit; Analyse der Subgruppe mit PD-L1 Tumor Area Positivity ≥5% im Langzeit-Follow-up.</w:t>
      </w:r>
    </w:p>
    <w:p>
      <w:r>
        <w:rPr>
          <w:b/>
        </w:rPr>
        <w:t xml:space="preserve">Ergebnis: </w:t>
      </w:r>
      <w:r>
        <w:t>Bei 358 Patienten mit PD-L1 TAP ≥5% (Tislelizumab+CT n=172, Placebo+CT n=186): Median Overall Survival 19,1 vs. 10,0 Monate (HR 0,61); Progression-Free Survival 8,2 vs. 5,5 Monate (HR 0,50); Objektive Ansprechrate 71,5% vs. 41,4%. Haltbarkeit über 45 Monate bestätigt; Sicherheitsprofil unverändert.</w:t>
      </w:r>
    </w:p>
    <w:p>
      <w:r>
        <w:rPr>
          <w:b/>
          <w:sz w:val="19"/>
        </w:rPr>
        <w:t xml:space="preserve">Übertragbarkeit: </w:t>
      </w:r>
      <w:r>
        <w:rPr>
          <w:sz w:val="19"/>
        </w:rPr>
        <w:t>Internationale Studie, Therapie europäisch zugelassen (EMA-Empfehlung PD-L1-Stratifizierung)</w:t>
      </w:r>
    </w:p>
    <w:p>
      <w:r>
        <w:rPr>
          <w:color w:val="5A7D3A"/>
          <w:sz w:val="18"/>
        </w:rPr>
        <w:t>https://pubmed.ncbi.nlm.nih.gov/42659894/</w:t>
      </w:r>
    </w:p>
    <w:p>
      <w:pPr>
        <w:pStyle w:val="Heading2"/>
      </w:pPr>
      <w:r>
        <w:t>Hypomethylierende Mittel + Venetoclax bei älteren AML-Patienten: 69% komplette Remissionen, 19,1 Monate Überleben</w:t>
      </w:r>
    </w:p>
    <w:p>
      <w:r>
        <w:rPr>
          <w:i/>
          <w:color w:val="666666"/>
          <w:sz w:val="18"/>
        </w:rPr>
        <w:t>Diekmann B et al.  ·  Eur J Cancer  ·  05.10.2026  ·  PMID 42659837</w:t>
      </w:r>
    </w:p>
    <w:p>
      <w:r>
        <w:t>Niederländische Real-World-Studie in 15 Krankenhäusern mit 209 älteren Patienten (≥65 Jahre) mit neu diagnostizierter AML, die nicht für intensive Chemotherapie geeignet waren; Nachbeobachtung median 25,9 Monate.</w:t>
      </w:r>
    </w:p>
    <w:p>
      <w:r>
        <w:rPr>
          <w:b/>
        </w:rPr>
        <w:t xml:space="preserve">Ergebnis: </w:t>
      </w:r>
      <w:r>
        <w:t>Composite Complete Remission in 69%; 3-Monats-Mortalität 15%; medianes Gesamtüberleben 19,1 Monate (ELN2024 High-Benefit-Gruppe 22,1, Intermediate 10,9, Lower-Benefit 6,8 Monate). Allogene Stammzelltransplantation (37 Patienten, 18%) verbesserungsfähig mit HR 0,24 für Tod (p&lt;0,001). Antifungale Agenten in 72% der ersten Zyklen assoziiert mit reduzierter Mortalität (HR 0,605; p=0,010).</w:t>
      </w:r>
    </w:p>
    <w:p>
      <w:r>
        <w:rPr>
          <w:b/>
          <w:sz w:val="19"/>
        </w:rPr>
        <w:t xml:space="preserve">Übertragbarkeit: </w:t>
      </w:r>
      <w:r>
        <w:rPr>
          <w:sz w:val="19"/>
        </w:rPr>
        <w:t>Niederländisches Versicherungssystem, vergleichbar Deutschland; Dosierungsoptimierung und Wechselwirkungen reduzieren Kosten</w:t>
      </w:r>
    </w:p>
    <w:p>
      <w:r>
        <w:rPr>
          <w:color w:val="5A7D3A"/>
          <w:sz w:val="18"/>
        </w:rPr>
        <w:t>https://pubmed.ncbi.nlm.nih.gov/42659837/</w:t>
      </w:r>
    </w:p>
    <w:p>
      <w:pPr>
        <w:pStyle w:val="Heading1"/>
      </w:pPr>
      <w:r>
        <w:t>Aufgenommen am 11.09.2026</w:t>
      </w:r>
    </w:p>
    <w:p>
      <w:pPr>
        <w:pStyle w:val="Heading2"/>
      </w:pPr>
      <w:r>
        <w:t>Acht Mutationsmuster definieren Prostatakrebs-Subtypen mit unterschiedlichem Metastasierungs- und Therapierisiko</w:t>
      </w:r>
    </w:p>
    <w:p>
      <w:r>
        <w:rPr>
          <w:i/>
          <w:color w:val="666666"/>
          <w:sz w:val="18"/>
        </w:rPr>
        <w:t>Gruber AJ et al.  ·  Nature  ·  09.09.2026  ·  PMID 42717097</w:t>
      </w:r>
    </w:p>
    <w:p>
      <w:r>
        <w:t>Internationale Kohorte von 959 Patienten mit 959 Prostatakrebstumoren wurde mittels Mutationssignatur-Analyse charakterisiert, um klinisch relevante Subtypen zu identifizieren.</w:t>
      </w:r>
    </w:p>
    <w:p>
      <w:r>
        <w:rPr>
          <w:b/>
        </w:rPr>
        <w:t xml:space="preserve">Ergebnis: </w:t>
      </w:r>
      <w:r>
        <w:t>Acht integrierte Mutationsfuß­abdrücke (IMF) erklären 85% der Pri­märtumoren; vier IMF (in 37% vorhanden) assoziierten mit verkürzter Zeit bis Metastasierung; Biomarker sagten Ansprechen auf Androgen-Rezeptor-Inhibitoren voraus.</w:t>
      </w:r>
    </w:p>
    <w:p>
      <w:r>
        <w:rPr>
          <w:b/>
          <w:sz w:val="19"/>
        </w:rPr>
        <w:t xml:space="preserve">Übertragbarkeit: </w:t>
      </w:r>
      <w:r>
        <w:rPr>
          <w:sz w:val="19"/>
        </w:rPr>
        <w:t>Europäische Zentren, deutsche DKFZ-Beteiligung; Grundlage für zukünftige Risikoschichtung im deutschen Versorgungssystem.</w:t>
      </w:r>
    </w:p>
    <w:p>
      <w:r>
        <w:rPr>
          <w:color w:val="5A7D3A"/>
          <w:sz w:val="18"/>
        </w:rPr>
        <w:t>https://pubmed.ncbi.nlm.nih.gov/42717097/</w:t>
      </w:r>
    </w:p>
    <w:p>
      <w:pPr>
        <w:pStyle w:val="Heading2"/>
      </w:pPr>
      <w:r>
        <w:t>DEGRO-Leitlinien-Update: Proton­therapie vs. Photonen-Radiotherapie bei Oropharynxkarzinom – keine klare Überlegenheit trotz Phase-III-Daten</w:t>
      </w:r>
    </w:p>
    <w:p>
      <w:r>
        <w:rPr>
          <w:i/>
          <w:color w:val="666666"/>
          <w:sz w:val="18"/>
        </w:rPr>
        <w:t>Reichl S et al.  ·  Strahlenther Onkol  ·  07.09.2026  ·  PMID 42706355</w:t>
      </w:r>
    </w:p>
    <w:p>
      <w:r>
        <w:t>Stellungnahme der DEGRO-Arbeitsgruppe Kopf-Hals-Tumoren zur Interpretation widersprüchlicher Phase-III-Evidenz zwischen Proton- und Photonen-Strahlentherapie beim Oropharynxkarzinom.</w:t>
      </w:r>
    </w:p>
    <w:p>
      <w:r>
        <w:rPr>
          <w:b/>
        </w:rPr>
        <w:t xml:space="preserve">Ergebnis: </w:t>
      </w:r>
      <w:r>
        <w:t>Panel-Konsens: Protontherapie zeigt in einzelnen Studien Vorteile bei Reduktion von Nebenwirkungen, aber keine konsistente Überlegenheit beim Gesamt­überleben; Empfehlung für Risk-adaptive Anwendung und Zentrumskonzentration; kein Wechsel der Leitlinie zu Routineprotontherapie.</w:t>
      </w:r>
    </w:p>
    <w:p>
      <w:r>
        <w:rPr>
          <w:b/>
          <w:sz w:val="19"/>
        </w:rPr>
        <w:t xml:space="preserve">Übertragbarkeit: </w:t>
      </w:r>
      <w:r>
        <w:rPr>
          <w:sz w:val="19"/>
        </w:rPr>
        <w:t>Deutsche Fachgesellschaft (DEGRO), deutschsprachiger Raum; direkte Auswirkung auf Zertifizierungskriterien und Versorgungsvergütung im deutschen System.</w:t>
      </w:r>
    </w:p>
    <w:p>
      <w:r>
        <w:rPr>
          <w:color w:val="5A7D3A"/>
          <w:sz w:val="18"/>
        </w:rPr>
        <w:t>https://pubmed.ncbi.nlm.nih.gov/42706355/</w:t>
      </w:r>
    </w:p>
    <w:p>
      <w:pPr>
        <w:pStyle w:val="Heading2"/>
      </w:pPr>
      <w:r>
        <w:t>Atezolizumab neoadjuvant in dreifach-negativem Brustkrebs: NSABP-B-59/Gepar­Douze Phase-III-Trial senkt nicht signifikant EFS</w:t>
      </w:r>
    </w:p>
    <w:p>
      <w:r>
        <w:rPr>
          <w:i/>
          <w:color w:val="666666"/>
          <w:sz w:val="18"/>
        </w:rPr>
        <w:t>Loibl S et al.  ·  Nat Med  ·  01.09.2026  ·  PMID 42680950</w:t>
      </w:r>
    </w:p>
    <w:p>
      <w:r>
        <w:t>Randomisiert 1.550 Patientinnen mit Stadium II–III Brustkrebs ohne HR, HER2; Atezolizumab oder Placebo zusätzlich zu Taxan-Carboplatin-Anthrazyklin-Chemotherapie neoadjuvant.</w:t>
      </w:r>
    </w:p>
    <w:p>
      <w:r>
        <w:rPr>
          <w:b/>
        </w:rPr>
        <w:t xml:space="preserve">Ergebnis: </w:t>
      </w:r>
      <w:r>
        <w:t>Hazard Ratio für ereignisfreies Überleben 0,80 (95%-CI 0,62–1,03; p = 0,083), 4-Jahres-EFS-Differenz 3,3%; Subgruppe mit lymphonodalen Metastasen möglicherweise profitierend; Immunnebenwirkungen in Atezolizumab-Arm 27,6% versus 11,4%.</w:t>
      </w:r>
    </w:p>
    <w:p>
      <w:r>
        <w:rPr>
          <w:b/>
          <w:sz w:val="19"/>
        </w:rPr>
        <w:t xml:space="preserve">Übertragbarkeit: </w:t>
      </w:r>
      <w:r>
        <w:rPr>
          <w:sz w:val="19"/>
        </w:rPr>
        <w:t>Deutschland und USA (GBG/NSABP-Netzwerk), europäische Zentren führend; keine Änderung deutschen Leitlinien zu erwarten.</w:t>
      </w:r>
    </w:p>
    <w:p>
      <w:r>
        <w:rPr>
          <w:color w:val="5A7D3A"/>
          <w:sz w:val="18"/>
        </w:rPr>
        <w:t>https://pubmed.ncbi.nlm.nih.gov/42680950/</w:t>
      </w:r>
    </w:p>
    <w:p>
      <w:pPr>
        <w:pStyle w:val="Heading2"/>
      </w:pPr>
      <w:r>
        <w:t>Tisagenlecleucel bei Post-HSCT-Relaps in pädiatrischer ALL: europäische Real-World-Daten nennen Risikofaktoren für CAR-T-Versagen</w:t>
      </w:r>
    </w:p>
    <w:p>
      <w:r>
        <w:rPr>
          <w:i/>
          <w:color w:val="666666"/>
          <w:sz w:val="18"/>
        </w:rPr>
        <w:t>Moser LM et al.  ·  Leukemia  ·  31.08.2026  ·  PMID 42675139</w:t>
      </w:r>
    </w:p>
    <w:p>
      <w:r>
        <w:t>Europäisches Multizenter-Register 220 Kindern/jungen Erwachsenen mit B-ALL nach Stammzelltransplantation und Rezidiv, behandelt mit CAR-T; Median-Follow-up 30 Monate.</w:t>
      </w:r>
    </w:p>
    <w:p>
      <w:r>
        <w:rPr>
          <w:b/>
        </w:rPr>
        <w:t xml:space="preserve">Ergebnis: </w:t>
      </w:r>
      <w:r>
        <w:t>2-Jahres-EFS 43,6%, OS 67,2%, CAR-T-Versagensrate 57,1%; niedriges OS bei MSD-Vorbehandlung (59,1% vs. Alternative-Donor 80,2%, p = 0,046); frühes Relaps (&lt;6 Mo post-HSCT) führte zu 2J-EFS 23,7% vs. 49,8% bei spätem Relaps (p = 0,001); Krankheitslast bei Lymphodeplation war signifikanter Outcome-Prädiktor.</w:t>
      </w:r>
    </w:p>
    <w:p>
      <w:r>
        <w:rPr>
          <w:b/>
          <w:sz w:val="19"/>
        </w:rPr>
        <w:t xml:space="preserve">Übertragbarkeit: </w:t>
      </w:r>
      <w:r>
        <w:rPr>
          <w:sz w:val="19"/>
        </w:rPr>
        <w:t>Zentren aus Deutschland, Österreich, Italien, Skandinavien; identifiziert hochrisiko-Kandidaten für verbesserte Nachbetreuung in deutschem System.</w:t>
      </w:r>
    </w:p>
    <w:p>
      <w:r>
        <w:rPr>
          <w:color w:val="5A7D3A"/>
          <w:sz w:val="18"/>
        </w:rPr>
        <w:t>https://pubmed.ncbi.nlm.nih.gov/42675139/</w:t>
      </w:r>
    </w:p>
    <w:p>
      <w:pPr>
        <w:pStyle w:val="Heading2"/>
      </w:pPr>
      <w:r>
        <w:t>Ältere Patienten (≥70J) mit resektablem Magenkrebs: Verträglichkeit perioperativer Therapie in TOPGEAR-Subanalyse vergleichbar mit Jüngeren trotz Dosisreduktionen</w:t>
      </w:r>
    </w:p>
    <w:p>
      <w:r>
        <w:rPr>
          <w:i/>
          <w:color w:val="666666"/>
          <w:sz w:val="18"/>
        </w:rPr>
        <w:t>Rühle A et al.  ·  Eur J Cancer  ·  05.10.2026  ·  PMID 42673704</w:t>
      </w:r>
    </w:p>
    <w:p>
      <w:r>
        <w:t>Sekundäranalyse Phase-III-Trial TOPGEAR mit 135 älteren (≥70J) und 439 jüngeren Patienten mit resektablem Magen­/Ösophageal-Karzinom; randomisiert zu Perioperativ-Chemotherapie oder zusätzlich präoperativer Chemoradiotherapie.</w:t>
      </w:r>
    </w:p>
    <w:p>
      <w:r>
        <w:rPr>
          <w:b/>
        </w:rPr>
        <w:t xml:space="preserve">Ergebnis: </w:t>
      </w:r>
      <w:r>
        <w:t>Ältere Patienten häufiger Chemotherapie-Dosismodifikationen (Chemoradiotherapie: 55% vs. 35%, p = 0,004); Grad-≥3-Nebenwirkungen vergleichbar (Chemoradiotherapie 66% vs. 67%); OS und PFS numerisch günstiger bei älteren (HR 0,86; HR 0,75); Operationsraten, chirurgische Komplikationen und 30/90-Tage-Mortalität ähnlich.</w:t>
      </w:r>
    </w:p>
    <w:p>
      <w:r>
        <w:rPr>
          <w:b/>
          <w:sz w:val="19"/>
        </w:rPr>
        <w:t xml:space="preserve">Übertragbarkeit: </w:t>
      </w:r>
      <w:r>
        <w:rPr>
          <w:sz w:val="19"/>
        </w:rPr>
        <w:t>Australisches/internationales Zentren-Netzwerk, aber Dosierungsschemen und ECOG-Kriterien Standard in Deutschland; liefert Evidenz für Machbarkeit im älteren Setting.</w:t>
      </w:r>
    </w:p>
    <w:p>
      <w:r>
        <w:rPr>
          <w:color w:val="5A7D3A"/>
          <w:sz w:val="18"/>
        </w:rPr>
        <w:t>https://pubmed.ncbi.nlm.nih.gov/42673704/</w:t>
      </w:r>
    </w:p>
    <w:p>
      <w:pPr>
        <w:pStyle w:val="Heading2"/>
      </w:pPr>
      <w:r>
        <w:t>Diagnostische Zulassungs­pfade als unterschätzter Engpass: Real-World-Daten zeigen 129-Tage-Genehmigung für Biomarker-Tests überschreitet klinische Prüfungsanträge</w:t>
      </w:r>
    </w:p>
    <w:p>
      <w:r>
        <w:rPr>
          <w:i/>
          <w:color w:val="666666"/>
          <w:sz w:val="18"/>
        </w:rPr>
        <w:t>Hersey S et al.  ·  Eur J Cancer  ·  05.10.2026  ·  PMID 42664749</w:t>
      </w:r>
    </w:p>
    <w:p>
      <w:r>
        <w:t>Analyse 132 europäischer IVDR-2017/746-Anträge (PSA, Ethics-Committee) aus 18 EU-Ländern + 2 Nicht-EU-Ländern zu Genehmigungszeiten für Biomarker-Tests in Precision-Oncology-Trials.</w:t>
      </w:r>
    </w:p>
    <w:p>
      <w:r>
        <w:rPr>
          <w:b/>
        </w:rPr>
        <w:t xml:space="preserve">Ergebnis: </w:t>
      </w:r>
      <w:r>
        <w:t>Mittlere kombinierte Genehmigungszeit 129,4 Tage (Median 116,5); sequenziell eingereichte Anträge dauerten 139,97 Tage, parallele 121,11 Tage (15,6% länger, p = 0,041); Länder-Range 75,66–175 Tage; 24% der Studien zeigten signifikanten PFS-Benefit ohne OS-Vorteil; substantielle Länder-Variabilität in IVDR-Umsetzung.</w:t>
      </w:r>
    </w:p>
    <w:p>
      <w:r>
        <w:rPr>
          <w:b/>
          <w:sz w:val="19"/>
        </w:rPr>
        <w:t xml:space="preserve">Übertragbarkeit: </w:t>
      </w:r>
      <w:r>
        <w:rPr>
          <w:sz w:val="19"/>
        </w:rPr>
        <w:t>Europäischer Datensatz, 18 EU-Mitgliedstaaten; direktes Policy-Hindernis für deutsche Precision-Oncology-Trials.</w:t>
      </w:r>
    </w:p>
    <w:p>
      <w:r>
        <w:rPr>
          <w:color w:val="5A7D3A"/>
          <w:sz w:val="18"/>
        </w:rPr>
        <w:t>https://pubmed.ncbi.nlm.nih.gov/42664749/</w:t>
      </w:r>
    </w:p>
    <w:p>
      <w:pPr>
        <w:pStyle w:val="Heading1"/>
      </w:pPr>
      <w:r>
        <w:t>Aufgenommen am 10.09.2026</w:t>
      </w:r>
    </w:p>
    <w:p>
      <w:pPr>
        <w:pStyle w:val="Heading2"/>
      </w:pPr>
      <w:r>
        <w:t>LGsig-Klassifikation verbessert Therapievorhersage beim Diffusen großzelligen B-Zell-Lymphom</w:t>
      </w:r>
    </w:p>
    <w:p>
      <w:r>
        <w:rPr>
          <w:i/>
          <w:color w:val="666666"/>
          <w:sz w:val="18"/>
        </w:rPr>
        <w:t>Tumuluru S et al.  ·  J Clin Oncol  ·  09.09.2026  ·  PMID 42715516</w:t>
      </w:r>
    </w:p>
    <w:p>
      <w:r>
        <w:t>Eine neue Klassifikationsmethode (LGsig) integriert genetische und Genexpressions-Profile, um Patienten mit diffusem großzelligem B-Zell-Lymphom in biologisch relevante Subtypen einzuordnen und deren Ansprechen auf gezielte Therapien besser vorherzusagen.</w:t>
      </w:r>
    </w:p>
    <w:p>
      <w:r>
        <w:rPr>
          <w:b/>
        </w:rPr>
        <w:t xml:space="preserve">Ergebnis: </w:t>
      </w:r>
      <w:r>
        <w:t>LGsig klassifizierte alle DLBCL-Fälle, einschließlich zuvor unklassifizierbarer Tumoren. In der POLARIX-Studie zeigte sich ein signifikanter Überlebensvorteil für Patienten mit bestimmten LGsig-Subtypen unter Polatuzumab vedotin-R-CHP versus R-CHOP in sowohl genetisch klassifizierten als auch unklassifizierten Fällen.</w:t>
      </w:r>
    </w:p>
    <w:p>
      <w:r>
        <w:rPr>
          <w:b/>
          <w:sz w:val="19"/>
        </w:rPr>
        <w:t xml:space="preserve">Übertragbarkeit: </w:t>
      </w:r>
      <w:r>
        <w:rPr>
          <w:sz w:val="19"/>
        </w:rPr>
        <w:t>Plattformübergreifend einsetzbare Genexpressions-Technik; Anwendbarkeit auf archivale Proben erleichtert klinische Integration in deutschen Tumorzentren.</w:t>
      </w:r>
    </w:p>
    <w:p>
      <w:r>
        <w:rPr>
          <w:color w:val="5A7D3A"/>
          <w:sz w:val="18"/>
        </w:rPr>
        <w:t>https://pubmed.ncbi.nlm.nih.gov/42715516/</w:t>
      </w:r>
    </w:p>
    <w:p>
      <w:pPr>
        <w:pStyle w:val="Heading2"/>
      </w:pPr>
      <w:r>
        <w:t>NECTIN4-Scoring-System und Amplifikation vorhersagen Ansprechen auf Enfortumab vedotin beim Urothelkarzinom</w:t>
      </w:r>
    </w:p>
    <w:p>
      <w:r>
        <w:rPr>
          <w:i/>
          <w:color w:val="666666"/>
          <w:sz w:val="18"/>
        </w:rPr>
        <w:t>Klümper N et al.  ·  Clin Cancer Res  ·  09.09.2026  ·  PMID 42714834</w:t>
      </w:r>
    </w:p>
    <w:p>
      <w:r>
        <w:t>Eine deutsche und internationale Studie entwickelte ein kombiniertes Scoring-System, das NECTIN4-Gen-Amplifikation und membranöse Proteinexpression integriert, um Patienten mit metastasiertem Urothelkarzinom zu identifizieren, die von Enfortumab vedotin profitieren werden.</w:t>
      </w:r>
    </w:p>
    <w:p>
      <w:r>
        <w:rPr>
          <w:b/>
        </w:rPr>
        <w:t xml:space="preserve">Ergebnis: </w:t>
      </w:r>
      <w:r>
        <w:t>Das integrierte Drei-Strata-Modell (amplifiziert, nicht-amplifiziert/hohe membranöse Expression, nicht-amplifiziert/niedrige membranöse Expression) erreichte Ansprechquoten von 77,2%, 42,9% und 26,1% (p&lt;0,001). NECTIN4-amplierte Tumoren zeigten besonders günstige Ergebnisse (Progression-Free Survival 12,2 Monate, Overall Survival 30,1 Monate).</w:t>
      </w:r>
    </w:p>
    <w:p>
      <w:r>
        <w:rPr>
          <w:b/>
          <w:sz w:val="19"/>
        </w:rPr>
        <w:t xml:space="preserve">Übertragbarkeit: </w:t>
      </w:r>
      <w:r>
        <w:rPr>
          <w:sz w:val="19"/>
        </w:rPr>
        <w:t>Deutschlandweite Multizenterstudie mit 39 Zentren; direkt transferierbar auf Zertifizierungsanforderungen und Tumorboard-Entscheidungen.</w:t>
      </w:r>
    </w:p>
    <w:p>
      <w:r>
        <w:rPr>
          <w:color w:val="5A7D3A"/>
          <w:sz w:val="18"/>
        </w:rPr>
        <w:t>https://pubmed.ncbi.nlm.nih.gov/42714834/</w:t>
      </w:r>
    </w:p>
    <w:p>
      <w:pPr>
        <w:pStyle w:val="Heading2"/>
      </w:pPr>
      <w:r>
        <w:t>DEGRO-Empfehlungen zur Strahlentherapie des Merkelzellkarzinoms mit Fokus auf Hypofraktionierung</w:t>
      </w:r>
    </w:p>
    <w:p>
      <w:r>
        <w:rPr>
          <w:i/>
          <w:color w:val="666666"/>
          <w:sz w:val="18"/>
        </w:rPr>
        <w:t>Elsayad K et al.  ·  Strahlenther Onkol  ·  09.09.2026  ·  PMID 42714572</w:t>
      </w:r>
    </w:p>
    <w:p>
      <w:r>
        <w:t>Eine Arbeitsgruppe der Deutschen Gesellschaft für Radioonkologie (DEGRO) formulierte evidenzbasierte Empfehlungen zur Strahlentherapie von Merkelzellkarzinomen, einschließlich Optionen für moderate und ultrahypofraktionierte Regime.</w:t>
      </w:r>
    </w:p>
    <w:p>
      <w:r>
        <w:rPr>
          <w:b/>
        </w:rPr>
        <w:t xml:space="preserve">Ergebnis: </w:t>
      </w:r>
      <w:r>
        <w:t>Adjuvante Strahlentherapie nach Chirurgie sollte idealerweise innerhalb von 8 Wochen eingeleitet werden. Für Patienten mit Gebrechlichkeit oder Komorbiditäten sind kürzere, moderat-hypofraktionierte oder ultrahypofraktionierte Schemata wirksame Alternativen zur klassischen Fraktionierung. Die Kombination von Immuntherapie mit Strahlung wird als Schwerpunkt zukünftiger Forschung identifiziert.</w:t>
      </w:r>
    </w:p>
    <w:p>
      <w:r>
        <w:rPr>
          <w:b/>
          <w:sz w:val="19"/>
        </w:rPr>
        <w:t xml:space="preserve">Übertragbarkeit: </w:t>
      </w:r>
      <w:r>
        <w:rPr>
          <w:sz w:val="19"/>
        </w:rPr>
        <w:t>Deutsche Fachgesellschafts-Leitlinie; direkte Implementierbarkeit in Zertifizierungsprozesse und klinische Routine.</w:t>
      </w:r>
    </w:p>
    <w:p>
      <w:r>
        <w:rPr>
          <w:color w:val="5A7D3A"/>
          <w:sz w:val="18"/>
        </w:rPr>
        <w:t>https://pubmed.ncbi.nlm.nih.gov/42714572/</w:t>
      </w:r>
    </w:p>
    <w:p>
      <w:pPr>
        <w:pStyle w:val="Heading2"/>
      </w:pPr>
      <w:r>
        <w:t>Pembrolizumab-Olaparib verbessert Progression-Free Survival bei BRCA-wildtyp-Ovarialkarzinom um 29%</w:t>
      </w:r>
    </w:p>
    <w:p>
      <w:r>
        <w:rPr>
          <w:i/>
          <w:color w:val="666666"/>
          <w:sz w:val="18"/>
        </w:rPr>
        <w:t>Vergote I et al.  ·  Lancet Oncol  ·  07.09.2026  ·  PMID 42705254</w:t>
      </w:r>
    </w:p>
    <w:p>
      <w:r>
        <w:t>Eine internationale Phase-3-Studie (ENGOT-OV43) untersuchte Pembrolizumab plus Chemotherapie gefolgt von Pembrolizumab-Olaparib-Erhaltungstherapie versus Chemotherapie allein bei BRCA-wildtyp-fortgeschrittenem Ovarialkarzinom.</w:t>
      </w:r>
    </w:p>
    <w:p>
      <w:r>
        <w:rPr>
          <w:b/>
        </w:rPr>
        <w:t xml:space="preserve">Ergebnis: </w:t>
      </w:r>
      <w:r>
        <w:t>Pembrolizumab-Olaparib zeigte signifikante Verbesserung der Progression-Free Survival gegenüber Kontrolle in der CPS≥10-Population (Hazard Ratio 0,63; p&lt;0,0001) und in der Intention-to-treat-Population (HR 0,68; p&lt;0,0001), mit Erhaltung der Effekte beim finalen Follow-up nach median 49,6 Monaten (HR 0,71). Grade ≥3 Nebenwirkungen traten bei 66% der Pembrolizumab-Olaparib-Gruppe auf.</w:t>
      </w:r>
    </w:p>
    <w:p>
      <w:r>
        <w:rPr>
          <w:b/>
          <w:sz w:val="19"/>
        </w:rPr>
        <w:t xml:space="preserve">Übertragbarkeit: </w:t>
      </w:r>
      <w:r>
        <w:rPr>
          <w:sz w:val="19"/>
        </w:rPr>
        <w:t>Europäische und globale Studie mit vergleichbarer Patientenselektion; Registerzulassung und AMNOG-Bewertung folgen regulärem Prozess in Deutschland.</w:t>
      </w:r>
    </w:p>
    <w:p>
      <w:r>
        <w:rPr>
          <w:color w:val="5A7D3A"/>
          <w:sz w:val="18"/>
        </w:rPr>
        <w:t>https://pubmed.ncbi.nlm.nih.gov/42705254/</w:t>
      </w:r>
    </w:p>
    <w:p>
      <w:pPr>
        <w:pStyle w:val="Heading2"/>
      </w:pPr>
      <w:r>
        <w:t>snoRNA-abgeleitete RNAs steuern Stress-Resilienz in AML und erlauben Risikoschichtung</w:t>
      </w:r>
    </w:p>
    <w:p>
      <w:r>
        <w:rPr>
          <w:i/>
          <w:color w:val="666666"/>
          <w:sz w:val="18"/>
        </w:rPr>
        <w:t>Zinz R et al.  ·  Leukemia  ·  04.09.2026  ·  PMID 42697931</w:t>
      </w:r>
    </w:p>
    <w:p>
      <w:r>
        <w:t>Eine mechanistische Grundlagenstudie identifiziert snoRNA-abgeleitete RNAs (sdRNAs) als regulatorische Moleküle in akuter myeloischer Leukämie; hohe sd3'-RNA/snoRNA-Verhältnisse prognostizieren ungünstige Outcomes und könnten therapeutische Angriffspunkte darstellen.</w:t>
      </w:r>
    </w:p>
    <w:p>
      <w:r>
        <w:rPr>
          <w:b/>
        </w:rPr>
        <w:t xml:space="preserve">Ergebnis: </w:t>
      </w:r>
      <w:r>
        <w:t>Hochgradig sd3'-RNA-Verhältnisse waren mit inversem Patientenoutcome assoziiert. Insbesondere bei NPM1-mutierten Patienten mit günstiger Risikoklassifikation identifizierte ein hohes sd3'-RNA-Verhältnis eine Subgruppe mit inferiorem Ergebnis. Erzwungene Expression einzelner sdRNAs (sd3'-SNORD78, sd3'-SNORD76, sd5'-SNORD93) verstärkte die klonogene Potenz in AML-Zelllinien und primären HSPCs. NUDT21 wurde als nachgelagertes Ziel von sd3'-SNORD78 charakterisiert.</w:t>
      </w:r>
    </w:p>
    <w:p>
      <w:r>
        <w:rPr>
          <w:b/>
          <w:sz w:val="19"/>
        </w:rPr>
        <w:t xml:space="preserve">Übertragbarkeit: </w:t>
      </w:r>
      <w:r>
        <w:rPr>
          <w:sz w:val="19"/>
        </w:rPr>
        <w:t>Deutsche Multizenterstudie (Heidelberg, Kiel, Dresden, Frankfurt); Mechanismus öffnet Wege zu klinischen Interventionen in der AML-Stratifikation.</w:t>
      </w:r>
    </w:p>
    <w:p>
      <w:r>
        <w:rPr>
          <w:color w:val="5A7D3A"/>
          <w:sz w:val="18"/>
        </w:rPr>
        <w:t>https://pubmed.ncbi.nlm.nih.gov/42697931/</w:t>
      </w:r>
    </w:p>
    <w:p>
      <w:pPr>
        <w:pStyle w:val="Heading2"/>
      </w:pPr>
      <w:r>
        <w:t>Genomische Profilierung erhöht Progression-Free Survival beim Karzinom unbekannten Primärtumors um 38%</w:t>
      </w:r>
    </w:p>
    <w:p>
      <w:r>
        <w:rPr>
          <w:i/>
          <w:color w:val="666666"/>
          <w:sz w:val="18"/>
        </w:rPr>
        <w:t>Krämer A et al.  ·  J Clin Oncol  ·  03.09.2026  ·  PMID 42691436</w:t>
      </w:r>
    </w:p>
    <w:p>
      <w:r>
        <w:t>Die CUPISCO-Studie vergleicht molekular geführte Therapie basierend auf umfassender genomischer Profilierung mit Standardchemotherapie bei Patienten mit ungünstigem Karzinom unbekannten Primärtumors nach Initial-Chemotherapie-Ansprechen.</w:t>
      </w:r>
    </w:p>
    <w:p>
      <w:r>
        <w:rPr>
          <w:b/>
        </w:rPr>
        <w:t xml:space="preserve">Ergebnis: </w:t>
      </w:r>
      <w:r>
        <w:t>Molekular geführte Therapie (n=326) versus fortgesetzte Chemotherapie (n=110): mediane Progression-Free Survival 6,1 Monate (95%-KI 4,7–6,5) versus 4,4 Monate (KI 4,2–6,4; HR 0,75; p=0,017). Medianes Gesamtüberleben 15,2 Monate (KI 13,9–18,4) versus 12,8 Monate (KI 9,8–15,4; HR 0,79; p=0,069) nach &gt;3 Jahren Follow-up.</w:t>
      </w:r>
    </w:p>
    <w:p>
      <w:r>
        <w:rPr>
          <w:b/>
          <w:sz w:val="19"/>
        </w:rPr>
        <w:t xml:space="preserve">Übertragbarkeit: </w:t>
      </w:r>
      <w:r>
        <w:rPr>
          <w:sz w:val="19"/>
        </w:rPr>
        <w:t>Deutschlandweite Zentren beteiligt; Molekular-Tumorboard-Ansatz etabliert in deutschen Krebszentren.</w:t>
      </w:r>
    </w:p>
    <w:p>
      <w:r>
        <w:rPr>
          <w:color w:val="5A7D3A"/>
          <w:sz w:val="18"/>
        </w:rPr>
        <w:t>https://pubmed.ncbi.nlm.nih.gov/42691436/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Studienarchiv - Onkologie</dc:title>
  <dc:subject/>
  <dc:creator>Monitor Versorgungsforschung</dc:creator>
  <cp:keywords/>
  <dc:description>generated by python-docx</dc:description>
  <cp:lastModifiedBy/>
  <cp:revision>1</cp:revision>
  <dcterms:created xsi:type="dcterms:W3CDTF">2026-10-25T06:00:00Z</dcterms:created>
  <dcterms:modified xsi:type="dcterms:W3CDTF">2026-10-25T06:00:00Z</dcterms:modified>
  <cp:category/>
</cp:coreProperties>
</file>